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73911E7C" wp14:editId="214B722F">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5047FE" w:rsidRDefault="005047FE" w:rsidP="00DA6CCE">
          <w:pPr>
            <w:jc w:val="both"/>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666847B8" wp14:editId="49944518">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" fillcolor="#5f497a [2407]" stroked="f" strokeweight="2pt"/>
                </w:pict>
              </mc:Fallback>
            </mc:AlternateContent>
          </w:r>
        </w:p>
        <w:sdt>
          <w:sdtPr>
            <w:rPr>
              <w:b/>
              <w:color w:val="FFFFFF" w:themeColor="background1"/>
              <w:sz w:val="32"/>
              <w:szCs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6622A5" w:rsidRDefault="00727BBB" w:rsidP="00F36D27">
              <w:pPr>
                <w:jc w:val="center"/>
                <w:rPr>
                  <w:b/>
                  <w:color w:val="FFFFFF" w:themeColor="background1"/>
                  <w:sz w:val="32"/>
                  <w:szCs w:val="32"/>
                </w:rPr>
              </w:pPr>
              <w:r w:rsidRPr="00727BBB">
                <w:rPr>
                  <w:b/>
                  <w:color w:val="FFFFFF" w:themeColor="background1"/>
                  <w:sz w:val="32"/>
                  <w:szCs w:val="32"/>
                </w:rPr>
                <w:t>Caracterización territorial de Cinco Villas. Asociación para el Desarrollo y Fomento de las Cinco Villas (</w:t>
              </w:r>
              <w:proofErr w:type="spellStart"/>
              <w:r w:rsidRPr="00727BBB">
                <w:rPr>
                  <w:b/>
                  <w:color w:val="FFFFFF" w:themeColor="background1"/>
                  <w:sz w:val="32"/>
                  <w:szCs w:val="32"/>
                </w:rPr>
                <w:t>Adefo</w:t>
              </w:r>
              <w:proofErr w:type="spellEnd"/>
              <w:r w:rsidRPr="00727BBB">
                <w:rPr>
                  <w:b/>
                  <w:color w:val="FFFFFF" w:themeColor="background1"/>
                  <w:sz w:val="32"/>
                  <w:szCs w:val="32"/>
                </w:rPr>
                <w:t>)</w:t>
              </w:r>
            </w:p>
          </w:sdtContent>
        </w:sdt>
        <w:p w:rsidR="005047FE" w:rsidRDefault="005047FE" w:rsidP="00DA6CCE">
          <w:pPr>
            <w:jc w:val="both"/>
            <w:rPr>
              <w:b/>
              <w:color w:val="000000" w:themeColor="text1"/>
              <w:sz w:val="32"/>
              <w:szCs w:val="32"/>
            </w:rPr>
          </w:pPr>
        </w:p>
        <w:p w:rsidR="005047FE" w:rsidRPr="005047FE" w:rsidRDefault="005047FE" w:rsidP="00DA6CCE">
          <w:pPr>
            <w:jc w:val="both"/>
            <w:rPr>
              <w:b/>
              <w:color w:val="000000" w:themeColor="text1"/>
              <w:sz w:val="32"/>
              <w:szCs w:val="32"/>
            </w:rPr>
          </w:pPr>
        </w:p>
        <w:p w:rsidR="005047FE" w:rsidRDefault="005047FE" w:rsidP="00DA6CCE">
          <w:pPr>
            <w:jc w:val="both"/>
            <w:rPr>
              <w:noProof/>
              <w:lang w:eastAsia="es-ES"/>
            </w:rPr>
          </w:pPr>
        </w:p>
        <w:p w:rsidR="00FA17CC" w:rsidRDefault="00727BBB" w:rsidP="00727BBB">
          <w:pPr>
            <w:tabs>
              <w:tab w:val="left" w:pos="1360"/>
            </w:tabs>
            <w:jc w:val="both"/>
            <w:rPr>
              <w:noProof/>
              <w:lang w:eastAsia="es-ES"/>
            </w:rPr>
          </w:pPr>
          <w:r>
            <w:rPr>
              <w:noProof/>
              <w:lang w:eastAsia="es-ES"/>
            </w:rPr>
            <w:tab/>
          </w:r>
          <w:r>
            <w:rPr>
              <w:noProof/>
              <w:lang w:eastAsia="es-ES"/>
            </w:rPr>
            <w:drawing>
              <wp:inline distT="0" distB="0" distL="0" distR="0" wp14:anchorId="69142B12" wp14:editId="45C54E12">
                <wp:extent cx="3373120" cy="5155022"/>
                <wp:effectExtent l="0" t="0" r="0" b="7620"/>
                <wp:docPr id="7" name="Imagen 7" descr="bajo-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jo-mart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3507" cy="5155613"/>
                        </a:xfrm>
                        <a:prstGeom prst="rect">
                          <a:avLst/>
                        </a:prstGeom>
                        <a:noFill/>
                        <a:ln>
                          <a:noFill/>
                        </a:ln>
                      </pic:spPr>
                    </pic:pic>
                  </a:graphicData>
                </a:graphic>
              </wp:inline>
            </w:drawing>
          </w:r>
        </w:p>
        <w:p w:rsidR="00FA17CC" w:rsidRDefault="00FA17CC" w:rsidP="00DA6CCE">
          <w:pPr>
            <w:jc w:val="both"/>
            <w:rPr>
              <w:noProof/>
              <w:lang w:eastAsia="es-ES"/>
            </w:rPr>
          </w:pPr>
        </w:p>
        <w:tbl>
          <w:tblPr>
            <w:tblpPr w:leftFromText="187" w:rightFromText="187" w:vertAnchor="page" w:horzAnchor="margin" w:tblpY="14865"/>
            <w:tblOverlap w:val="never"/>
            <w:tblW w:w="0" w:type="auto"/>
            <w:tblLook w:val="04A0" w:firstRow="1" w:lastRow="0" w:firstColumn="1" w:lastColumn="0" w:noHBand="0" w:noVBand="1"/>
          </w:tblPr>
          <w:tblGrid>
            <w:gridCol w:w="8720"/>
          </w:tblGrid>
          <w:tr w:rsidR="00727BBB" w:rsidTr="00727BBB">
            <w:trPr>
              <w:trHeight w:val="360"/>
            </w:trPr>
            <w:tc>
              <w:tcPr>
                <w:tcW w:w="8720" w:type="dxa"/>
              </w:tcPr>
              <w:p w:rsidR="00727BBB" w:rsidRPr="005047FE" w:rsidRDefault="00727BBB" w:rsidP="00727BBB">
                <w:pPr>
                  <w:pStyle w:val="Sinespaciado"/>
                  <w:jc w:val="both"/>
                  <w:rPr>
                    <w:b/>
                    <w:color w:val="000000" w:themeColor="text1"/>
                    <w:sz w:val="32"/>
                    <w:szCs w:val="32"/>
                  </w:rPr>
                </w:pPr>
                <w:r w:rsidRPr="005047FE">
                  <w:rPr>
                    <w:b/>
                    <w:color w:val="000000" w:themeColor="text1"/>
                    <w:sz w:val="32"/>
                    <w:szCs w:val="32"/>
                  </w:rPr>
                  <w:t>RADR</w:t>
                </w:r>
              </w:p>
            </w:tc>
          </w:tr>
        </w:tbl>
        <w:p w:rsidR="00FA17CC" w:rsidRDefault="00FA17CC" w:rsidP="00DA6CCE">
          <w:pPr>
            <w:jc w:val="both"/>
            <w:rPr>
              <w:noProof/>
              <w:lang w:eastAsia="es-ES"/>
            </w:rPr>
          </w:pPr>
        </w:p>
        <w:p w:rsidR="00974B32" w:rsidRDefault="00974B32" w:rsidP="00DA6CCE">
          <w:pPr>
            <w:jc w:val="both"/>
            <w:rPr>
              <w:noProof/>
              <w:lang w:eastAsia="es-ES"/>
            </w:rPr>
          </w:pPr>
        </w:p>
        <w:p w:rsidR="005047FE" w:rsidRDefault="00727BBB"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629F78A7" wp14:editId="1AE48938">
                    <wp:simplePos x="0" y="0"/>
                    <wp:positionH relativeFrom="column">
                      <wp:posOffset>-198755</wp:posOffset>
                    </wp:positionH>
                    <wp:positionV relativeFrom="paragraph">
                      <wp:posOffset>63500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15.65pt;margin-top:5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425194" w:rsidRDefault="00425194"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792C1E4F" wp14:editId="2C93C49F">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Style w:val="Sombreadomedio1-nfasis4"/>
            <w:tblW w:w="8414" w:type="dxa"/>
            <w:tblInd w:w="250" w:type="dxa"/>
            <w:tblLook w:val="04A0" w:firstRow="1" w:lastRow="0" w:firstColumn="1" w:lastColumn="0" w:noHBand="0" w:noVBand="1"/>
          </w:tblPr>
          <w:tblGrid>
            <w:gridCol w:w="2812"/>
            <w:gridCol w:w="1610"/>
            <w:gridCol w:w="1361"/>
            <w:gridCol w:w="1270"/>
            <w:gridCol w:w="1361"/>
          </w:tblGrid>
          <w:tr w:rsidR="00FA17CC" w:rsidRPr="00FA17CC" w:rsidTr="00FA17CC">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12" w:type="dxa"/>
                <w:noWrap/>
                <w:hideMark/>
              </w:tcPr>
              <w:p w:rsidR="00FA17CC" w:rsidRPr="00FA17CC" w:rsidRDefault="00FA17CC" w:rsidP="00FA17CC">
                <w:pPr>
                  <w:rPr>
                    <w:rFonts w:eastAsia="Times New Roman" w:cs="Times New Roman"/>
                    <w:sz w:val="20"/>
                    <w:szCs w:val="20"/>
                    <w:lang w:eastAsia="es-ES"/>
                  </w:rPr>
                </w:pPr>
                <w:r w:rsidRPr="00FA17CC">
                  <w:rPr>
                    <w:rFonts w:eastAsia="Times New Roman" w:cs="Times New Roman"/>
                    <w:sz w:val="20"/>
                    <w:szCs w:val="20"/>
                    <w:lang w:eastAsia="es-ES"/>
                  </w:rPr>
                  <w:t>GRUPO</w:t>
                </w:r>
              </w:p>
            </w:tc>
            <w:tc>
              <w:tcPr>
                <w:tcW w:w="1610" w:type="dxa"/>
                <w:noWrap/>
                <w:hideMark/>
              </w:tcPr>
              <w:p w:rsidR="00FA17CC" w:rsidRPr="00FA17CC" w:rsidRDefault="00FA17CC" w:rsidP="00FA17C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ADEFO</w:t>
                </w:r>
              </w:p>
            </w:tc>
            <w:tc>
              <w:tcPr>
                <w:tcW w:w="1361" w:type="dxa"/>
                <w:noWrap/>
                <w:hideMark/>
              </w:tcPr>
              <w:p w:rsidR="00FA17CC" w:rsidRPr="00FA17CC" w:rsidRDefault="00FA17CC" w:rsidP="00FA17C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270" w:type="dxa"/>
                <w:noWrap/>
                <w:hideMark/>
              </w:tcPr>
              <w:p w:rsidR="00FA17CC" w:rsidRPr="00FA17CC" w:rsidRDefault="00FA17CC" w:rsidP="00FA17C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361" w:type="dxa"/>
                <w:noWrap/>
                <w:hideMark/>
              </w:tcPr>
              <w:p w:rsidR="00FA17CC" w:rsidRPr="00FA17CC" w:rsidRDefault="00FA17CC" w:rsidP="00FA17C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r>
          <w:tr w:rsidR="00FA17CC" w:rsidRPr="00FA17CC" w:rsidTr="00FA17C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12" w:type="dxa"/>
                <w:vMerge w:val="restart"/>
                <w:hideMark/>
              </w:tcPr>
              <w:p w:rsidR="00FA17CC" w:rsidRPr="00FA17CC" w:rsidRDefault="00FA17CC" w:rsidP="00FA17CC">
                <w:pPr>
                  <w:jc w:val="center"/>
                  <w:rPr>
                    <w:rFonts w:eastAsia="Times New Roman" w:cs="Times New Roman"/>
                    <w:sz w:val="20"/>
                    <w:szCs w:val="20"/>
                    <w:lang w:eastAsia="es-ES"/>
                  </w:rPr>
                </w:pPr>
                <w:r w:rsidRPr="00FA17CC">
                  <w:rPr>
                    <w:rFonts w:eastAsia="Times New Roman" w:cs="Times New Roman"/>
                    <w:sz w:val="20"/>
                    <w:szCs w:val="20"/>
                    <w:lang w:eastAsia="es-ES"/>
                  </w:rPr>
                  <w:t>Clasificación zona</w:t>
                </w:r>
              </w:p>
            </w:tc>
            <w:tc>
              <w:tcPr>
                <w:tcW w:w="2971" w:type="dxa"/>
                <w:gridSpan w:val="2"/>
                <w:noWrap/>
                <w:hideMark/>
              </w:tcPr>
              <w:p w:rsidR="00FA17CC" w:rsidRPr="00FA17CC" w:rsidRDefault="00FA17CC" w:rsidP="00FA17C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Pr>
                    <w:rFonts w:eastAsia="Times New Roman" w:cs="Times New Roman"/>
                    <w:b/>
                    <w:bCs/>
                    <w:sz w:val="20"/>
                    <w:szCs w:val="20"/>
                    <w:lang w:eastAsia="es-ES"/>
                  </w:rPr>
                  <w:t>Població</w:t>
                </w:r>
                <w:r w:rsidRPr="00FA17CC">
                  <w:rPr>
                    <w:rFonts w:eastAsia="Times New Roman" w:cs="Times New Roman"/>
                    <w:b/>
                    <w:bCs/>
                    <w:sz w:val="20"/>
                    <w:szCs w:val="20"/>
                    <w:lang w:eastAsia="es-ES"/>
                  </w:rPr>
                  <w:t>n</w:t>
                </w:r>
              </w:p>
            </w:tc>
            <w:tc>
              <w:tcPr>
                <w:tcW w:w="2631" w:type="dxa"/>
                <w:gridSpan w:val="2"/>
                <w:noWrap/>
                <w:hideMark/>
              </w:tcPr>
              <w:p w:rsidR="00FA17CC" w:rsidRPr="00FA17CC"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Pr>
                    <w:rFonts w:eastAsia="Times New Roman" w:cs="Times New Roman"/>
                    <w:b/>
                    <w:bCs/>
                    <w:sz w:val="20"/>
                    <w:szCs w:val="20"/>
                    <w:lang w:eastAsia="es-ES"/>
                  </w:rPr>
                  <w:t>L</w:t>
                </w:r>
                <w:r w:rsidRPr="00FA17CC">
                  <w:rPr>
                    <w:rFonts w:eastAsia="Times New Roman" w:cs="Times New Roman"/>
                    <w:b/>
                    <w:bCs/>
                    <w:sz w:val="20"/>
                    <w:szCs w:val="20"/>
                    <w:lang w:eastAsia="es-ES"/>
                  </w:rPr>
                  <w:t>ocalidades</w:t>
                </w:r>
              </w:p>
            </w:tc>
          </w:tr>
          <w:tr w:rsidR="00FA17CC" w:rsidRPr="00FA17CC" w:rsidTr="00FA17C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12" w:type="dxa"/>
                <w:vMerge/>
                <w:hideMark/>
              </w:tcPr>
              <w:p w:rsidR="00FA17CC" w:rsidRPr="00FA17CC" w:rsidRDefault="00FA17CC" w:rsidP="00FA17CC">
                <w:pPr>
                  <w:rPr>
                    <w:rFonts w:eastAsia="Times New Roman" w:cs="Times New Roman"/>
                    <w:sz w:val="20"/>
                    <w:szCs w:val="20"/>
                    <w:lang w:eastAsia="es-ES"/>
                  </w:rPr>
                </w:pPr>
              </w:p>
            </w:tc>
            <w:tc>
              <w:tcPr>
                <w:tcW w:w="1610" w:type="dxa"/>
                <w:noWrap/>
                <w:hideMark/>
              </w:tcPr>
              <w:p w:rsidR="00FA17CC" w:rsidRPr="00FA17CC" w:rsidRDefault="00FA17CC" w:rsidP="00FA17C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Pr>
                    <w:rFonts w:eastAsia="Times New Roman" w:cs="Times New Roman"/>
                    <w:b/>
                    <w:bCs/>
                    <w:sz w:val="20"/>
                    <w:szCs w:val="20"/>
                    <w:lang w:eastAsia="es-ES"/>
                  </w:rPr>
                  <w:t>Nº</w:t>
                </w:r>
              </w:p>
            </w:tc>
            <w:tc>
              <w:tcPr>
                <w:tcW w:w="1361" w:type="dxa"/>
                <w:noWrap/>
                <w:hideMark/>
              </w:tcPr>
              <w:p w:rsidR="00FA17CC" w:rsidRPr="00FA17CC" w:rsidRDefault="00FA17CC" w:rsidP="00FA17C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Pr>
                    <w:rFonts w:eastAsia="Times New Roman" w:cs="Times New Roman"/>
                    <w:b/>
                    <w:bCs/>
                    <w:sz w:val="20"/>
                    <w:szCs w:val="20"/>
                    <w:lang w:eastAsia="es-ES"/>
                  </w:rPr>
                  <w:t>%</w:t>
                </w:r>
              </w:p>
            </w:tc>
            <w:tc>
              <w:tcPr>
                <w:tcW w:w="1270" w:type="dxa"/>
                <w:noWrap/>
                <w:hideMark/>
              </w:tcPr>
              <w:p w:rsidR="00FA17CC" w:rsidRPr="00FA17CC" w:rsidRDefault="00FA17CC" w:rsidP="00FA17C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FA17CC">
                  <w:rPr>
                    <w:rFonts w:eastAsia="Times New Roman" w:cs="Times New Roman"/>
                    <w:b/>
                    <w:bCs/>
                    <w:sz w:val="20"/>
                    <w:szCs w:val="20"/>
                    <w:lang w:eastAsia="es-ES"/>
                  </w:rPr>
                  <w:t>numero</w:t>
                </w:r>
              </w:p>
            </w:tc>
            <w:tc>
              <w:tcPr>
                <w:tcW w:w="1361" w:type="dxa"/>
                <w:noWrap/>
                <w:hideMark/>
              </w:tcPr>
              <w:p w:rsidR="00FA17CC" w:rsidRPr="00FA17CC" w:rsidRDefault="00FA17CC" w:rsidP="00FA17C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FA17CC">
                  <w:rPr>
                    <w:rFonts w:eastAsia="Times New Roman" w:cs="Times New Roman"/>
                    <w:b/>
                    <w:bCs/>
                    <w:sz w:val="20"/>
                    <w:szCs w:val="20"/>
                    <w:lang w:eastAsia="es-ES"/>
                  </w:rPr>
                  <w:t>porcentajes</w:t>
                </w:r>
              </w:p>
            </w:tc>
          </w:tr>
          <w:tr w:rsidR="00FA17CC" w:rsidRPr="00FA17CC" w:rsidTr="00FA17C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12" w:type="dxa"/>
                <w:noWrap/>
                <w:hideMark/>
              </w:tcPr>
              <w:p w:rsidR="00FA17CC" w:rsidRPr="00FA17CC" w:rsidRDefault="00FA17CC" w:rsidP="00FA17CC">
                <w:pPr>
                  <w:rPr>
                    <w:rFonts w:eastAsia="Times New Roman" w:cs="Times New Roman"/>
                    <w:sz w:val="20"/>
                    <w:szCs w:val="20"/>
                    <w:lang w:eastAsia="es-ES"/>
                  </w:rPr>
                </w:pPr>
                <w:r>
                  <w:rPr>
                    <w:rFonts w:eastAsia="Times New Roman" w:cs="Times New Roman"/>
                    <w:sz w:val="20"/>
                    <w:szCs w:val="20"/>
                    <w:lang w:eastAsia="es-ES"/>
                  </w:rPr>
                  <w:t>Z</w:t>
                </w:r>
                <w:r w:rsidRPr="00FA17CC">
                  <w:rPr>
                    <w:rFonts w:eastAsia="Times New Roman" w:cs="Times New Roman"/>
                    <w:sz w:val="20"/>
                    <w:szCs w:val="20"/>
                    <w:lang w:eastAsia="es-ES"/>
                  </w:rPr>
                  <w:t>ona rural (&lt;2000)</w:t>
                </w:r>
              </w:p>
            </w:tc>
            <w:tc>
              <w:tcPr>
                <w:tcW w:w="1610" w:type="dxa"/>
                <w:noWrap/>
                <w:hideMark/>
              </w:tcPr>
              <w:p w:rsidR="00FA17CC" w:rsidRPr="00FA17CC" w:rsidRDefault="00FA17CC" w:rsidP="00FA17C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7745</w:t>
                </w:r>
              </w:p>
            </w:tc>
            <w:tc>
              <w:tcPr>
                <w:tcW w:w="1361" w:type="dxa"/>
                <w:noWrap/>
                <w:hideMark/>
              </w:tcPr>
              <w:p w:rsidR="00FA17CC" w:rsidRPr="00FA17CC" w:rsidRDefault="00FA17CC" w:rsidP="00FA17C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24,15%</w:t>
                </w:r>
              </w:p>
            </w:tc>
            <w:tc>
              <w:tcPr>
                <w:tcW w:w="1270" w:type="dxa"/>
                <w:noWrap/>
                <w:hideMark/>
              </w:tcPr>
              <w:p w:rsidR="00FA17CC" w:rsidRPr="00FA17CC" w:rsidRDefault="00FA17CC" w:rsidP="00FA17C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29</w:t>
                </w:r>
              </w:p>
            </w:tc>
            <w:tc>
              <w:tcPr>
                <w:tcW w:w="1361" w:type="dxa"/>
                <w:noWrap/>
                <w:hideMark/>
              </w:tcPr>
              <w:p w:rsidR="00FA17CC" w:rsidRPr="00FA17CC" w:rsidRDefault="00FA17CC" w:rsidP="00FA17C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93,55%</w:t>
                </w:r>
              </w:p>
            </w:tc>
          </w:tr>
          <w:tr w:rsidR="00FA17CC" w:rsidRPr="00FA17CC" w:rsidTr="00FA17C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12" w:type="dxa"/>
                <w:noWrap/>
                <w:hideMark/>
              </w:tcPr>
              <w:p w:rsidR="00FA17CC" w:rsidRPr="00FA17CC" w:rsidRDefault="00FA17CC" w:rsidP="00FA17CC">
                <w:pPr>
                  <w:rPr>
                    <w:rFonts w:eastAsia="Times New Roman" w:cs="Times New Roman"/>
                    <w:sz w:val="20"/>
                    <w:szCs w:val="20"/>
                    <w:lang w:eastAsia="es-ES"/>
                  </w:rPr>
                </w:pPr>
                <w:r>
                  <w:rPr>
                    <w:rFonts w:eastAsia="Times New Roman" w:cs="Times New Roman"/>
                    <w:sz w:val="20"/>
                    <w:szCs w:val="20"/>
                    <w:lang w:eastAsia="es-ES"/>
                  </w:rPr>
                  <w:t>Z</w:t>
                </w:r>
                <w:r w:rsidRPr="00FA17CC">
                  <w:rPr>
                    <w:rFonts w:eastAsia="Times New Roman" w:cs="Times New Roman"/>
                    <w:sz w:val="20"/>
                    <w:szCs w:val="20"/>
                    <w:lang w:eastAsia="es-ES"/>
                  </w:rPr>
                  <w:t>ona intermedia (&lt; 10000)</w:t>
                </w:r>
              </w:p>
            </w:tc>
            <w:tc>
              <w:tcPr>
                <w:tcW w:w="1610" w:type="dxa"/>
                <w:noWrap/>
                <w:hideMark/>
              </w:tcPr>
              <w:p w:rsidR="00FA17CC" w:rsidRPr="00FA17CC"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7190</w:t>
                </w:r>
              </w:p>
            </w:tc>
            <w:tc>
              <w:tcPr>
                <w:tcW w:w="1361" w:type="dxa"/>
                <w:noWrap/>
                <w:hideMark/>
              </w:tcPr>
              <w:p w:rsidR="00FA17CC" w:rsidRPr="00FA17CC"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22,42%</w:t>
                </w:r>
              </w:p>
            </w:tc>
            <w:tc>
              <w:tcPr>
                <w:tcW w:w="1270" w:type="dxa"/>
                <w:noWrap/>
                <w:hideMark/>
              </w:tcPr>
              <w:p w:rsidR="00FA17CC" w:rsidRPr="00FA17CC"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1</w:t>
                </w:r>
              </w:p>
            </w:tc>
            <w:tc>
              <w:tcPr>
                <w:tcW w:w="1361" w:type="dxa"/>
                <w:noWrap/>
                <w:hideMark/>
              </w:tcPr>
              <w:p w:rsidR="00FA17CC" w:rsidRPr="00FA17CC"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3,23%</w:t>
                </w:r>
              </w:p>
            </w:tc>
          </w:tr>
          <w:tr w:rsidR="00FA17CC" w:rsidRPr="00FA17CC" w:rsidTr="00FA17C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12" w:type="dxa"/>
                <w:noWrap/>
                <w:hideMark/>
              </w:tcPr>
              <w:p w:rsidR="00FA17CC" w:rsidRPr="00FA17CC" w:rsidRDefault="00FA17CC" w:rsidP="00FA17CC">
                <w:pPr>
                  <w:rPr>
                    <w:rFonts w:eastAsia="Times New Roman" w:cs="Times New Roman"/>
                    <w:sz w:val="20"/>
                    <w:szCs w:val="20"/>
                    <w:lang w:eastAsia="es-ES"/>
                  </w:rPr>
                </w:pPr>
                <w:r>
                  <w:rPr>
                    <w:rFonts w:eastAsia="Times New Roman" w:cs="Times New Roman"/>
                    <w:sz w:val="20"/>
                    <w:szCs w:val="20"/>
                    <w:lang w:eastAsia="es-ES"/>
                  </w:rPr>
                  <w:t>Z</w:t>
                </w:r>
                <w:r w:rsidRPr="00FA17CC">
                  <w:rPr>
                    <w:rFonts w:eastAsia="Times New Roman" w:cs="Times New Roman"/>
                    <w:sz w:val="20"/>
                    <w:szCs w:val="20"/>
                    <w:lang w:eastAsia="es-ES"/>
                  </w:rPr>
                  <w:t>ona urbana (&gt; 10000)</w:t>
                </w:r>
              </w:p>
            </w:tc>
            <w:tc>
              <w:tcPr>
                <w:tcW w:w="1610" w:type="dxa"/>
                <w:noWrap/>
                <w:hideMark/>
              </w:tcPr>
              <w:p w:rsidR="00FA17CC" w:rsidRPr="00FA17CC" w:rsidRDefault="00FA17CC" w:rsidP="00FA17C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17139</w:t>
                </w:r>
              </w:p>
            </w:tc>
            <w:tc>
              <w:tcPr>
                <w:tcW w:w="1361" w:type="dxa"/>
                <w:noWrap/>
                <w:hideMark/>
              </w:tcPr>
              <w:p w:rsidR="00FA17CC" w:rsidRPr="00FA17CC" w:rsidRDefault="00FA17CC" w:rsidP="00FA17C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53,44%</w:t>
                </w:r>
              </w:p>
            </w:tc>
            <w:tc>
              <w:tcPr>
                <w:tcW w:w="1270" w:type="dxa"/>
                <w:noWrap/>
                <w:hideMark/>
              </w:tcPr>
              <w:p w:rsidR="00FA17CC" w:rsidRPr="00FA17CC" w:rsidRDefault="00FA17CC" w:rsidP="00FA17C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1</w:t>
                </w:r>
              </w:p>
            </w:tc>
            <w:tc>
              <w:tcPr>
                <w:tcW w:w="1361" w:type="dxa"/>
                <w:noWrap/>
                <w:hideMark/>
              </w:tcPr>
              <w:p w:rsidR="00FA17CC" w:rsidRPr="00FA17CC" w:rsidRDefault="00FA17CC" w:rsidP="00FA17C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3,23%</w:t>
                </w:r>
              </w:p>
            </w:tc>
          </w:tr>
          <w:tr w:rsidR="00FA17CC" w:rsidRPr="00FA17CC" w:rsidTr="00FA17C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12" w:type="dxa"/>
                <w:noWrap/>
                <w:hideMark/>
              </w:tcPr>
              <w:p w:rsidR="00FA17CC" w:rsidRPr="00FA17CC" w:rsidRDefault="00FA17CC" w:rsidP="00FA17CC">
                <w:pPr>
                  <w:rPr>
                    <w:rFonts w:eastAsia="Times New Roman" w:cs="Times New Roman"/>
                    <w:sz w:val="20"/>
                    <w:szCs w:val="20"/>
                    <w:lang w:eastAsia="es-ES"/>
                  </w:rPr>
                </w:pPr>
                <w:r>
                  <w:rPr>
                    <w:rFonts w:eastAsia="Times New Roman" w:cs="Times New Roman"/>
                    <w:sz w:val="20"/>
                    <w:szCs w:val="20"/>
                    <w:lang w:eastAsia="es-ES"/>
                  </w:rPr>
                  <w:t>T</w:t>
                </w:r>
                <w:r w:rsidRPr="00FA17CC">
                  <w:rPr>
                    <w:rFonts w:eastAsia="Times New Roman" w:cs="Times New Roman"/>
                    <w:sz w:val="20"/>
                    <w:szCs w:val="20"/>
                    <w:lang w:eastAsia="es-ES"/>
                  </w:rPr>
                  <w:t>otal</w:t>
                </w:r>
              </w:p>
            </w:tc>
            <w:tc>
              <w:tcPr>
                <w:tcW w:w="1610" w:type="dxa"/>
                <w:noWrap/>
                <w:hideMark/>
              </w:tcPr>
              <w:p w:rsidR="00FA17CC" w:rsidRPr="00FA17CC"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32074</w:t>
                </w:r>
              </w:p>
            </w:tc>
            <w:tc>
              <w:tcPr>
                <w:tcW w:w="1361" w:type="dxa"/>
                <w:noWrap/>
                <w:hideMark/>
              </w:tcPr>
              <w:p w:rsidR="00FA17CC" w:rsidRPr="00FA17CC"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100,00%</w:t>
                </w:r>
              </w:p>
            </w:tc>
            <w:tc>
              <w:tcPr>
                <w:tcW w:w="1270" w:type="dxa"/>
                <w:noWrap/>
                <w:hideMark/>
              </w:tcPr>
              <w:p w:rsidR="00FA17CC" w:rsidRPr="00FA17CC"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31</w:t>
                </w:r>
              </w:p>
            </w:tc>
            <w:tc>
              <w:tcPr>
                <w:tcW w:w="1361" w:type="dxa"/>
                <w:noWrap/>
                <w:hideMark/>
              </w:tcPr>
              <w:p w:rsidR="00FA17CC" w:rsidRPr="00FA17CC"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FA17CC">
                  <w:rPr>
                    <w:rFonts w:eastAsia="Times New Roman"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F081D" w:rsidRDefault="00FA17CC" w:rsidP="00DA6CCE">
          <w:pPr>
            <w:pStyle w:val="Prrafodelista"/>
            <w:ind w:left="284"/>
            <w:jc w:val="both"/>
            <w:rPr>
              <w:noProof/>
              <w:lang w:eastAsia="es-ES"/>
            </w:rPr>
          </w:pPr>
          <w:r>
            <w:rPr>
              <w:noProof/>
              <w:lang w:eastAsia="es-ES"/>
            </w:rPr>
            <w:drawing>
              <wp:inline distT="0" distB="0" distL="0" distR="0" wp14:anchorId="3BEACE6B" wp14:editId="39FDC3BA">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413A" w:rsidRDefault="0077413A" w:rsidP="00DA6CCE">
          <w:pPr>
            <w:pStyle w:val="Prrafodelista"/>
            <w:ind w:left="284"/>
            <w:jc w:val="both"/>
            <w:rPr>
              <w:noProof/>
              <w:lang w:eastAsia="es-ES"/>
            </w:rPr>
          </w:pPr>
        </w:p>
        <w:p w:rsidR="0077413A" w:rsidRDefault="0077413A" w:rsidP="00DA6CCE">
          <w:pPr>
            <w:pStyle w:val="Prrafodelista"/>
            <w:ind w:left="284"/>
            <w:jc w:val="both"/>
            <w:rPr>
              <w:noProof/>
              <w:lang w:eastAsia="es-ES"/>
            </w:rPr>
          </w:pPr>
        </w:p>
        <w:p w:rsidR="005047FE" w:rsidRDefault="005047FE" w:rsidP="00DA6CCE">
          <w:pPr>
            <w:jc w:val="both"/>
            <w:rPr>
              <w:noProof/>
              <w:lang w:eastAsia="es-ES"/>
            </w:rPr>
          </w:pPr>
        </w:p>
        <w:p w:rsidR="008222AC" w:rsidRDefault="008222AC"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FA17CC" w:rsidP="00DA6CCE">
          <w:pPr>
            <w:pStyle w:val="Prrafodelista"/>
            <w:jc w:val="both"/>
            <w:rPr>
              <w:b/>
              <w:sz w:val="24"/>
              <w:szCs w:val="24"/>
            </w:rPr>
          </w:pPr>
          <w:r>
            <w:rPr>
              <w:noProof/>
              <w:lang w:eastAsia="es-ES"/>
            </w:rPr>
            <w:drawing>
              <wp:inline distT="0" distB="0" distL="0" distR="0" wp14:anchorId="574A7CC7" wp14:editId="5FA1BFB3">
                <wp:extent cx="5405120" cy="2773680"/>
                <wp:effectExtent l="0" t="0" r="24130" b="2667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533C22" w:rsidRDefault="00533C22" w:rsidP="00DA6CCE">
          <w:pPr>
            <w:pStyle w:val="Prrafodelista"/>
            <w:jc w:val="both"/>
            <w:rPr>
              <w:sz w:val="24"/>
              <w:szCs w:val="24"/>
            </w:rPr>
          </w:pPr>
        </w:p>
        <w:p w:rsidR="00533C22" w:rsidRDefault="00FA17CC" w:rsidP="00DA6CCE">
          <w:pPr>
            <w:pStyle w:val="Prrafodelista"/>
            <w:ind w:left="567"/>
            <w:jc w:val="both"/>
            <w:rPr>
              <w:sz w:val="24"/>
              <w:szCs w:val="24"/>
            </w:rPr>
          </w:pPr>
          <w:r w:rsidRPr="00FA17CC">
            <w:rPr>
              <w:noProof/>
              <w:lang w:eastAsia="es-ES"/>
            </w:rPr>
            <w:drawing>
              <wp:inline distT="0" distB="0" distL="0" distR="0" wp14:anchorId="5B4414F6" wp14:editId="5DE50086">
                <wp:extent cx="5394960" cy="117856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179670"/>
                        </a:xfrm>
                        <a:prstGeom prst="rect">
                          <a:avLst/>
                        </a:prstGeom>
                        <a:noFill/>
                        <a:ln>
                          <a:noFill/>
                        </a:ln>
                      </pic:spPr>
                    </pic:pic>
                  </a:graphicData>
                </a:graphic>
              </wp:inline>
            </w:drawing>
          </w:r>
        </w:p>
        <w:p w:rsidR="00533C22" w:rsidRDefault="00533C22" w:rsidP="00DA6CCE">
          <w:pPr>
            <w:pStyle w:val="Prrafodelista"/>
            <w:jc w:val="both"/>
            <w:rPr>
              <w:sz w:val="24"/>
              <w:szCs w:val="24"/>
            </w:rPr>
          </w:pPr>
        </w:p>
        <w:p w:rsidR="00533C22" w:rsidRPr="00FA17CC"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533C22" w:rsidRDefault="00FA17CC" w:rsidP="00DA6CCE">
          <w:pPr>
            <w:pStyle w:val="Prrafodelista"/>
            <w:jc w:val="both"/>
            <w:rPr>
              <w:sz w:val="24"/>
              <w:szCs w:val="24"/>
            </w:rPr>
          </w:pPr>
          <w:r w:rsidRPr="00FA17CC">
            <w:rPr>
              <w:noProof/>
              <w:lang w:eastAsia="es-ES"/>
            </w:rPr>
            <w:drawing>
              <wp:inline distT="0" distB="0" distL="0" distR="0" wp14:anchorId="355208BF" wp14:editId="272648BA">
                <wp:extent cx="5356660" cy="1219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1708" cy="1220349"/>
                        </a:xfrm>
                        <a:prstGeom prst="rect">
                          <a:avLst/>
                        </a:prstGeom>
                        <a:noFill/>
                        <a:ln>
                          <a:noFill/>
                        </a:ln>
                      </pic:spPr>
                    </pic:pic>
                  </a:graphicData>
                </a:graphic>
              </wp:inline>
            </w:drawing>
          </w:r>
        </w:p>
        <w:p w:rsidR="00533C22" w:rsidRDefault="00533C22" w:rsidP="00DA6CCE">
          <w:pPr>
            <w:jc w:val="both"/>
            <w:rPr>
              <w:sz w:val="24"/>
              <w:szCs w:val="24"/>
            </w:rPr>
          </w:pPr>
        </w:p>
        <w:p w:rsidR="00247F9F" w:rsidRDefault="00247F9F" w:rsidP="00DA6CCE">
          <w:pPr>
            <w:jc w:val="both"/>
            <w:rPr>
              <w:sz w:val="24"/>
              <w:szCs w:val="24"/>
            </w:rPr>
          </w:pPr>
        </w:p>
        <w:p w:rsidR="00AF7330" w:rsidRPr="0092710E" w:rsidRDefault="00AF7330"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FA17CC" w:rsidP="00DA6CCE">
          <w:pPr>
            <w:pStyle w:val="Prrafodelista"/>
            <w:ind w:left="426"/>
            <w:jc w:val="both"/>
          </w:pPr>
          <w:r w:rsidRPr="00FA17CC">
            <w:rPr>
              <w:noProof/>
              <w:lang w:eastAsia="es-ES"/>
            </w:rPr>
            <w:drawing>
              <wp:inline distT="0" distB="0" distL="0" distR="0" wp14:anchorId="02C0CA09" wp14:editId="3913732B">
                <wp:extent cx="5547360" cy="4876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105" cy="491262"/>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FA17CC" w:rsidP="00DA6CCE">
          <w:pPr>
            <w:pStyle w:val="Prrafodelista"/>
            <w:ind w:left="426"/>
            <w:jc w:val="both"/>
            <w:rPr>
              <w:b/>
              <w:sz w:val="24"/>
              <w:szCs w:val="24"/>
            </w:rPr>
          </w:pPr>
          <w:r w:rsidRPr="00FA17CC">
            <w:rPr>
              <w:noProof/>
              <w:lang w:eastAsia="es-ES"/>
            </w:rPr>
            <w:drawing>
              <wp:inline distT="0" distB="0" distL="0" distR="0" wp14:anchorId="3A35FF6E" wp14:editId="44950264">
                <wp:extent cx="5577836" cy="467360"/>
                <wp:effectExtent l="0" t="0" r="444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8806" cy="470793"/>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FA17CC" w:rsidP="00DA6CCE">
          <w:pPr>
            <w:pStyle w:val="Prrafodelista"/>
            <w:ind w:left="426"/>
            <w:jc w:val="both"/>
            <w:rPr>
              <w:b/>
              <w:sz w:val="24"/>
              <w:szCs w:val="24"/>
            </w:rPr>
          </w:pPr>
          <w:r w:rsidRPr="00FA17CC">
            <w:rPr>
              <w:noProof/>
              <w:lang w:eastAsia="es-ES"/>
            </w:rPr>
            <w:drawing>
              <wp:inline distT="0" distB="0" distL="0" distR="0" wp14:anchorId="23899198" wp14:editId="6FA330D5">
                <wp:extent cx="5577840" cy="487680"/>
                <wp:effectExtent l="0" t="0" r="381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8809" cy="491262"/>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FA17CC" w:rsidP="00FA17CC">
          <w:pPr>
            <w:pStyle w:val="Prrafodelista"/>
            <w:ind w:hanging="153"/>
            <w:jc w:val="both"/>
            <w:rPr>
              <w:b/>
              <w:sz w:val="24"/>
              <w:szCs w:val="24"/>
            </w:rPr>
          </w:pPr>
          <w:r>
            <w:rPr>
              <w:noProof/>
              <w:lang w:eastAsia="es-ES"/>
            </w:rPr>
            <w:drawing>
              <wp:inline distT="0" distB="0" distL="0" distR="0" wp14:anchorId="6295598E" wp14:editId="1699984C">
                <wp:extent cx="5323840" cy="2458720"/>
                <wp:effectExtent l="38100" t="0" r="10160" b="1778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5775D5" w:rsidP="00FA17CC">
          <w:pPr>
            <w:pStyle w:val="Prrafodelista"/>
            <w:ind w:left="709" w:right="-1" w:hanging="142"/>
            <w:jc w:val="both"/>
            <w:rPr>
              <w:b/>
              <w:sz w:val="24"/>
              <w:szCs w:val="24"/>
            </w:rPr>
          </w:pPr>
          <w:r>
            <w:rPr>
              <w:noProof/>
              <w:lang w:eastAsia="es-ES"/>
            </w:rPr>
            <w:drawing>
              <wp:inline distT="0" distB="0" distL="0" distR="0" wp14:anchorId="440925A6" wp14:editId="62901B0B">
                <wp:extent cx="5354320" cy="2773680"/>
                <wp:effectExtent l="0" t="0" r="17780" b="2667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FA17CC" w:rsidRDefault="00FA17CC" w:rsidP="00DA6CCE">
          <w:pPr>
            <w:pStyle w:val="Prrafodelista"/>
            <w:ind w:left="567" w:right="-1" w:firstLine="142"/>
            <w:jc w:val="both"/>
            <w:rPr>
              <w:b/>
              <w:sz w:val="24"/>
              <w:szCs w:val="24"/>
            </w:rPr>
          </w:pPr>
        </w:p>
        <w:p w:rsidR="00FA17CC" w:rsidRPr="00974B32" w:rsidRDefault="00FA17CC" w:rsidP="00DA6CCE">
          <w:pPr>
            <w:pStyle w:val="Prrafodelista"/>
            <w:ind w:left="567" w:right="-1" w:firstLine="142"/>
            <w:jc w:val="both"/>
            <w:rPr>
              <w:b/>
              <w:sz w:val="24"/>
              <w:szCs w:val="24"/>
            </w:rPr>
          </w:pPr>
        </w:p>
        <w:p w:rsidR="00906EF5" w:rsidRPr="00187242" w:rsidRDefault="00906EF5" w:rsidP="00DA6CCE">
          <w:pPr>
            <w:pStyle w:val="Prrafodelista"/>
            <w:numPr>
              <w:ilvl w:val="0"/>
              <w:numId w:val="1"/>
            </w:numPr>
            <w:jc w:val="both"/>
            <w:rPr>
              <w:b/>
              <w:sz w:val="24"/>
              <w:szCs w:val="24"/>
            </w:rPr>
          </w:pPr>
          <w:r w:rsidRPr="00187242">
            <w:rPr>
              <w:b/>
              <w:sz w:val="24"/>
              <w:szCs w:val="24"/>
            </w:rPr>
            <w:lastRenderedPageBreak/>
            <w:t>Tasas e indicadores:</w:t>
          </w:r>
        </w:p>
        <w:tbl>
          <w:tblPr>
            <w:tblStyle w:val="Sombreadomedio1-nfasis4"/>
            <w:tblW w:w="7720" w:type="dxa"/>
            <w:tblInd w:w="817" w:type="dxa"/>
            <w:tblLook w:val="04A0" w:firstRow="1" w:lastRow="0" w:firstColumn="1" w:lastColumn="0" w:noHBand="0" w:noVBand="1"/>
          </w:tblPr>
          <w:tblGrid>
            <w:gridCol w:w="2500"/>
            <w:gridCol w:w="2420"/>
            <w:gridCol w:w="2800"/>
          </w:tblGrid>
          <w:tr w:rsidR="00FA17CC" w:rsidRPr="00727BBB" w:rsidTr="00FA17CC">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FA17CC" w:rsidRPr="00727BBB" w:rsidRDefault="00FA17CC" w:rsidP="00FA17CC">
                <w:pPr>
                  <w:jc w:val="center"/>
                  <w:rPr>
                    <w:rFonts w:eastAsia="Times New Roman" w:cs="Times New Roman"/>
                    <w:sz w:val="20"/>
                    <w:szCs w:val="20"/>
                    <w:lang w:eastAsia="es-ES"/>
                  </w:rPr>
                </w:pPr>
                <w:r w:rsidRPr="00727BBB">
                  <w:rPr>
                    <w:rFonts w:eastAsia="Times New Roman" w:cs="Times New Roman"/>
                    <w:sz w:val="20"/>
                    <w:szCs w:val="20"/>
                    <w:lang w:eastAsia="es-ES"/>
                  </w:rPr>
                  <w:t>Tasa de masculinidad</w:t>
                </w:r>
              </w:p>
            </w:tc>
            <w:tc>
              <w:tcPr>
                <w:tcW w:w="2420" w:type="dxa"/>
                <w:vMerge w:val="restart"/>
                <w:noWrap/>
                <w:hideMark/>
              </w:tcPr>
              <w:p w:rsidR="00FA17CC" w:rsidRPr="00727BBB" w:rsidRDefault="00FA17CC" w:rsidP="00FA17C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727BBB">
                  <w:rPr>
                    <w:rFonts w:eastAsia="Times New Roman" w:cs="Times New Roman"/>
                    <w:sz w:val="20"/>
                    <w:szCs w:val="20"/>
                    <w:lang w:eastAsia="es-ES"/>
                  </w:rPr>
                  <w:t>Aragón</w:t>
                </w:r>
              </w:p>
            </w:tc>
            <w:tc>
              <w:tcPr>
                <w:tcW w:w="2800" w:type="dxa"/>
                <w:vMerge w:val="restart"/>
                <w:noWrap/>
                <w:hideMark/>
              </w:tcPr>
              <w:p w:rsidR="00FA17CC" w:rsidRPr="00727BBB" w:rsidRDefault="00FA17CC" w:rsidP="00FA17C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727BBB">
                  <w:rPr>
                    <w:rFonts w:eastAsia="Times New Roman" w:cs="Times New Roman"/>
                    <w:sz w:val="20"/>
                    <w:szCs w:val="20"/>
                    <w:lang w:eastAsia="es-ES"/>
                  </w:rPr>
                  <w:t>GAL</w:t>
                </w:r>
              </w:p>
            </w:tc>
          </w:tr>
          <w:tr w:rsidR="00FA17CC" w:rsidRPr="00727BBB" w:rsidTr="00FA17C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FA17CC" w:rsidRPr="00727BBB" w:rsidRDefault="00FA17CC" w:rsidP="00FA17CC">
                <w:pPr>
                  <w:rPr>
                    <w:rFonts w:eastAsia="Times New Roman" w:cs="Times New Roman"/>
                    <w:sz w:val="20"/>
                    <w:szCs w:val="20"/>
                    <w:lang w:eastAsia="es-ES"/>
                  </w:rPr>
                </w:pPr>
              </w:p>
            </w:tc>
            <w:tc>
              <w:tcPr>
                <w:tcW w:w="2420" w:type="dxa"/>
                <w:vMerge/>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FA17CC" w:rsidRPr="00727BBB" w:rsidTr="00FA17CC">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FA17CC" w:rsidRPr="00727BBB" w:rsidRDefault="00FA17CC" w:rsidP="00FA17CC">
                <w:pPr>
                  <w:rPr>
                    <w:rFonts w:eastAsia="Times New Roman" w:cs="Times New Roman"/>
                    <w:sz w:val="20"/>
                    <w:szCs w:val="20"/>
                    <w:lang w:eastAsia="es-ES"/>
                  </w:rPr>
                </w:pPr>
              </w:p>
            </w:tc>
            <w:tc>
              <w:tcPr>
                <w:tcW w:w="2420" w:type="dxa"/>
                <w:noWrap/>
                <w:hideMark/>
              </w:tcPr>
              <w:p w:rsidR="00FA17CC" w:rsidRPr="00727BBB"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98,94%</w:t>
                </w:r>
              </w:p>
            </w:tc>
            <w:tc>
              <w:tcPr>
                <w:tcW w:w="2800" w:type="dxa"/>
                <w:noWrap/>
                <w:hideMark/>
              </w:tcPr>
              <w:p w:rsidR="00FA17CC" w:rsidRPr="00727BBB"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105,19%</w:t>
                </w:r>
              </w:p>
            </w:tc>
          </w:tr>
          <w:tr w:rsidR="00FA17CC" w:rsidRPr="00727BBB" w:rsidTr="00FA17C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00" w:type="dxa"/>
                <w:hideMark/>
              </w:tcPr>
              <w:p w:rsidR="00FA17CC" w:rsidRPr="00727BBB" w:rsidRDefault="00FA17CC" w:rsidP="00FA17CC">
                <w:pPr>
                  <w:rPr>
                    <w:rFonts w:eastAsia="Times New Roman" w:cs="Times New Roman"/>
                    <w:sz w:val="20"/>
                    <w:szCs w:val="20"/>
                    <w:lang w:eastAsia="es-ES"/>
                  </w:rPr>
                </w:pPr>
                <w:r w:rsidRPr="00727BBB">
                  <w:rPr>
                    <w:rFonts w:eastAsia="Times New Roman" w:cs="Times New Roman"/>
                    <w:sz w:val="20"/>
                    <w:szCs w:val="20"/>
                    <w:lang w:eastAsia="es-ES"/>
                  </w:rPr>
                  <w:t>(número de varones dividido entre número de mujeres</w:t>
                </w:r>
              </w:p>
            </w:tc>
            <w:tc>
              <w:tcPr>
                <w:tcW w:w="2420" w:type="dxa"/>
                <w:noWrap/>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FA17CC" w:rsidRPr="00727BBB" w:rsidTr="00FA17CC">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noWrap/>
                <w:hideMark/>
              </w:tcPr>
              <w:p w:rsidR="00FA17CC" w:rsidRPr="00727BBB" w:rsidRDefault="00FA17CC" w:rsidP="00FA17CC">
                <w:pPr>
                  <w:rPr>
                    <w:rFonts w:eastAsia="Times New Roman" w:cs="Times New Roman"/>
                    <w:sz w:val="20"/>
                    <w:szCs w:val="20"/>
                    <w:lang w:eastAsia="es-ES"/>
                  </w:rPr>
                </w:pPr>
              </w:p>
            </w:tc>
            <w:tc>
              <w:tcPr>
                <w:tcW w:w="2420" w:type="dxa"/>
                <w:noWrap/>
                <w:hideMark/>
              </w:tcPr>
              <w:p w:rsidR="00FA17CC" w:rsidRPr="00727BBB" w:rsidRDefault="00FA17CC" w:rsidP="00FA17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FA17CC" w:rsidRPr="00727BBB" w:rsidRDefault="00FA17CC" w:rsidP="00FA17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FA17CC" w:rsidRPr="00727BBB" w:rsidTr="00FA17C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FA17CC" w:rsidRPr="00727BBB" w:rsidRDefault="00FA17CC" w:rsidP="00FA17CC">
                <w:pPr>
                  <w:jc w:val="center"/>
                  <w:rPr>
                    <w:rFonts w:eastAsia="Times New Roman" w:cs="Times New Roman"/>
                    <w:sz w:val="20"/>
                    <w:szCs w:val="20"/>
                    <w:lang w:eastAsia="es-ES"/>
                  </w:rPr>
                </w:pPr>
                <w:r w:rsidRPr="00727BBB">
                  <w:rPr>
                    <w:rFonts w:eastAsia="Times New Roman" w:cs="Times New Roman"/>
                    <w:sz w:val="20"/>
                    <w:szCs w:val="20"/>
                    <w:lang w:eastAsia="es-ES"/>
                  </w:rPr>
                  <w:t>Índice de maternidad</w:t>
                </w:r>
              </w:p>
            </w:tc>
            <w:tc>
              <w:tcPr>
                <w:tcW w:w="2420" w:type="dxa"/>
                <w:vMerge w:val="restart"/>
                <w:noWrap/>
                <w:hideMark/>
              </w:tcPr>
              <w:p w:rsidR="00FA17CC" w:rsidRPr="00727BBB" w:rsidRDefault="00FA17CC" w:rsidP="00FA17C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Aragón</w:t>
                </w:r>
              </w:p>
            </w:tc>
            <w:tc>
              <w:tcPr>
                <w:tcW w:w="2800" w:type="dxa"/>
                <w:vMerge w:val="restart"/>
                <w:noWrap/>
                <w:hideMark/>
              </w:tcPr>
              <w:p w:rsidR="00FA17CC" w:rsidRPr="00727BBB" w:rsidRDefault="00FA17CC" w:rsidP="00FA17C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GAL</w:t>
                </w:r>
              </w:p>
            </w:tc>
          </w:tr>
          <w:tr w:rsidR="00FA17CC" w:rsidRPr="00727BBB" w:rsidTr="00FA17CC">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FA17CC" w:rsidRPr="00727BBB" w:rsidRDefault="00FA17CC" w:rsidP="00FA17CC">
                <w:pPr>
                  <w:rPr>
                    <w:rFonts w:eastAsia="Times New Roman" w:cs="Times New Roman"/>
                    <w:sz w:val="20"/>
                    <w:szCs w:val="20"/>
                    <w:lang w:eastAsia="es-ES"/>
                  </w:rPr>
                </w:pPr>
              </w:p>
            </w:tc>
            <w:tc>
              <w:tcPr>
                <w:tcW w:w="2420" w:type="dxa"/>
                <w:vMerge/>
                <w:hideMark/>
              </w:tcPr>
              <w:p w:rsidR="00FA17CC" w:rsidRPr="00727BBB" w:rsidRDefault="00FA17CC" w:rsidP="00FA17CC">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FA17CC" w:rsidRPr="00727BBB" w:rsidRDefault="00FA17CC" w:rsidP="00FA17CC">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FA17CC" w:rsidRPr="00727BBB" w:rsidTr="00FA17C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FA17CC" w:rsidRPr="00727BBB" w:rsidRDefault="00FA17CC" w:rsidP="00FA17CC">
                <w:pPr>
                  <w:rPr>
                    <w:rFonts w:eastAsia="Times New Roman" w:cs="Times New Roman"/>
                    <w:sz w:val="20"/>
                    <w:szCs w:val="20"/>
                    <w:lang w:eastAsia="es-ES"/>
                  </w:rPr>
                </w:pPr>
              </w:p>
            </w:tc>
            <w:tc>
              <w:tcPr>
                <w:tcW w:w="2420" w:type="dxa"/>
                <w:noWrap/>
                <w:hideMark/>
              </w:tcPr>
              <w:p w:rsidR="00FA17CC" w:rsidRPr="00727BBB" w:rsidRDefault="00FA17CC" w:rsidP="00FA17C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20,92%</w:t>
                </w:r>
              </w:p>
            </w:tc>
            <w:tc>
              <w:tcPr>
                <w:tcW w:w="2800" w:type="dxa"/>
                <w:noWrap/>
                <w:hideMark/>
              </w:tcPr>
              <w:p w:rsidR="00FA17CC" w:rsidRPr="00727BBB" w:rsidRDefault="00FA17CC" w:rsidP="00FA17C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18,37%</w:t>
                </w:r>
              </w:p>
            </w:tc>
          </w:tr>
          <w:tr w:rsidR="00FA17CC" w:rsidRPr="00727BBB" w:rsidTr="00FA17CC">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500" w:type="dxa"/>
                <w:hideMark/>
              </w:tcPr>
              <w:p w:rsidR="00FA17CC" w:rsidRPr="00727BBB" w:rsidRDefault="00FA17CC" w:rsidP="00FA17CC">
                <w:pPr>
                  <w:rPr>
                    <w:rFonts w:eastAsia="Times New Roman" w:cs="Times New Roman"/>
                    <w:sz w:val="20"/>
                    <w:szCs w:val="20"/>
                    <w:lang w:eastAsia="es-ES"/>
                  </w:rPr>
                </w:pPr>
                <w:r w:rsidRPr="00727BBB">
                  <w:rPr>
                    <w:rFonts w:eastAsia="Times New Roman" w:cs="Times New Roman"/>
                    <w:sz w:val="20"/>
                    <w:szCs w:val="20"/>
                    <w:lang w:eastAsia="es-ES"/>
                  </w:rPr>
                  <w:t>(número de niños de 0 a4 años entre mujeres de 15 a 49)</w:t>
                </w:r>
              </w:p>
            </w:tc>
            <w:tc>
              <w:tcPr>
                <w:tcW w:w="2420" w:type="dxa"/>
                <w:noWrap/>
                <w:hideMark/>
              </w:tcPr>
              <w:p w:rsidR="00FA17CC" w:rsidRPr="00727BBB" w:rsidRDefault="00FA17CC" w:rsidP="00FA17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FA17CC" w:rsidRPr="00727BBB" w:rsidRDefault="00FA17CC" w:rsidP="00FA17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FA17CC" w:rsidRPr="00727BBB" w:rsidTr="00FA17C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noWrap/>
                <w:hideMark/>
              </w:tcPr>
              <w:p w:rsidR="00FA17CC" w:rsidRPr="00727BBB" w:rsidRDefault="00FA17CC" w:rsidP="00FA17CC">
                <w:pPr>
                  <w:rPr>
                    <w:rFonts w:eastAsia="Times New Roman" w:cs="Times New Roman"/>
                    <w:sz w:val="20"/>
                    <w:szCs w:val="20"/>
                    <w:lang w:eastAsia="es-ES"/>
                  </w:rPr>
                </w:pPr>
              </w:p>
            </w:tc>
            <w:tc>
              <w:tcPr>
                <w:tcW w:w="2420" w:type="dxa"/>
                <w:noWrap/>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FA17CC" w:rsidRPr="00727BBB" w:rsidTr="00FA17CC">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FA17CC" w:rsidRPr="00727BBB" w:rsidRDefault="00FA17CC" w:rsidP="00FA17CC">
                <w:pPr>
                  <w:jc w:val="center"/>
                  <w:rPr>
                    <w:rFonts w:eastAsia="Times New Roman" w:cs="Times New Roman"/>
                    <w:sz w:val="20"/>
                    <w:szCs w:val="20"/>
                    <w:lang w:eastAsia="es-ES"/>
                  </w:rPr>
                </w:pPr>
                <w:r w:rsidRPr="00727BBB">
                  <w:rPr>
                    <w:rFonts w:eastAsia="Times New Roman" w:cs="Times New Roman"/>
                    <w:sz w:val="20"/>
                    <w:szCs w:val="20"/>
                    <w:lang w:eastAsia="es-ES"/>
                  </w:rPr>
                  <w:t>Índice de potencialidad</w:t>
                </w:r>
              </w:p>
            </w:tc>
            <w:tc>
              <w:tcPr>
                <w:tcW w:w="2420" w:type="dxa"/>
                <w:vMerge w:val="restart"/>
                <w:noWrap/>
                <w:hideMark/>
              </w:tcPr>
              <w:p w:rsidR="00FA17CC" w:rsidRPr="00727BBB" w:rsidRDefault="00FA17CC" w:rsidP="00FA17C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Aragón</w:t>
                </w:r>
              </w:p>
            </w:tc>
            <w:tc>
              <w:tcPr>
                <w:tcW w:w="2800" w:type="dxa"/>
                <w:vMerge w:val="restart"/>
                <w:noWrap/>
                <w:hideMark/>
              </w:tcPr>
              <w:p w:rsidR="00FA17CC" w:rsidRPr="00727BBB" w:rsidRDefault="00FA17CC" w:rsidP="00FA17C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GAL</w:t>
                </w:r>
              </w:p>
            </w:tc>
          </w:tr>
          <w:tr w:rsidR="00FA17CC" w:rsidRPr="00727BBB" w:rsidTr="00FA17C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FA17CC" w:rsidRPr="00727BBB" w:rsidRDefault="00FA17CC" w:rsidP="00FA17CC">
                <w:pPr>
                  <w:rPr>
                    <w:rFonts w:eastAsia="Times New Roman" w:cs="Times New Roman"/>
                    <w:sz w:val="20"/>
                    <w:szCs w:val="20"/>
                    <w:lang w:eastAsia="es-ES"/>
                  </w:rPr>
                </w:pPr>
              </w:p>
            </w:tc>
            <w:tc>
              <w:tcPr>
                <w:tcW w:w="2420" w:type="dxa"/>
                <w:vMerge/>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FA17CC" w:rsidRPr="00727BBB" w:rsidTr="00FA17CC">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FA17CC" w:rsidRPr="00727BBB" w:rsidRDefault="00FA17CC" w:rsidP="00FA17CC">
                <w:pPr>
                  <w:rPr>
                    <w:rFonts w:eastAsia="Times New Roman" w:cs="Times New Roman"/>
                    <w:sz w:val="20"/>
                    <w:szCs w:val="20"/>
                    <w:lang w:eastAsia="es-ES"/>
                  </w:rPr>
                </w:pPr>
              </w:p>
            </w:tc>
            <w:tc>
              <w:tcPr>
                <w:tcW w:w="2420" w:type="dxa"/>
                <w:noWrap/>
                <w:hideMark/>
              </w:tcPr>
              <w:p w:rsidR="00FA17CC" w:rsidRPr="00727BBB"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77,01%</w:t>
                </w:r>
              </w:p>
            </w:tc>
            <w:tc>
              <w:tcPr>
                <w:tcW w:w="2800" w:type="dxa"/>
                <w:noWrap/>
                <w:hideMark/>
              </w:tcPr>
              <w:p w:rsidR="00FA17CC" w:rsidRPr="00727BBB"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78,98%</w:t>
                </w:r>
              </w:p>
            </w:tc>
          </w:tr>
          <w:tr w:rsidR="00FA17CC" w:rsidRPr="00727BBB" w:rsidTr="00FA17CC">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500" w:type="dxa"/>
                <w:hideMark/>
              </w:tcPr>
              <w:p w:rsidR="00FA17CC" w:rsidRPr="00727BBB" w:rsidRDefault="00FA17CC" w:rsidP="00FA17CC">
                <w:pPr>
                  <w:rPr>
                    <w:rFonts w:eastAsia="Times New Roman" w:cs="Times New Roman"/>
                    <w:sz w:val="20"/>
                    <w:szCs w:val="20"/>
                    <w:lang w:eastAsia="es-ES"/>
                  </w:rPr>
                </w:pPr>
                <w:r w:rsidRPr="00727BBB">
                  <w:rPr>
                    <w:rFonts w:eastAsia="Times New Roman" w:cs="Times New Roman"/>
                    <w:sz w:val="20"/>
                    <w:szCs w:val="20"/>
                    <w:lang w:eastAsia="es-ES"/>
                  </w:rPr>
                  <w:t>(número mujeres de 20 a 34 entre mujeres de 35 a 49)</w:t>
                </w:r>
              </w:p>
            </w:tc>
            <w:tc>
              <w:tcPr>
                <w:tcW w:w="2420" w:type="dxa"/>
                <w:noWrap/>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FA17CC" w:rsidRPr="00727BBB" w:rsidTr="00FA17CC">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noWrap/>
                <w:hideMark/>
              </w:tcPr>
              <w:p w:rsidR="00FA17CC" w:rsidRPr="00727BBB" w:rsidRDefault="00FA17CC" w:rsidP="00FA17CC">
                <w:pPr>
                  <w:rPr>
                    <w:rFonts w:eastAsia="Times New Roman" w:cs="Times New Roman"/>
                    <w:sz w:val="20"/>
                    <w:szCs w:val="20"/>
                    <w:lang w:eastAsia="es-ES"/>
                  </w:rPr>
                </w:pPr>
              </w:p>
            </w:tc>
            <w:tc>
              <w:tcPr>
                <w:tcW w:w="2420" w:type="dxa"/>
                <w:noWrap/>
                <w:hideMark/>
              </w:tcPr>
              <w:p w:rsidR="00FA17CC" w:rsidRPr="00727BBB" w:rsidRDefault="00FA17CC" w:rsidP="00FA17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FA17CC" w:rsidRPr="00727BBB" w:rsidRDefault="00FA17CC" w:rsidP="00FA17CC">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FA17CC" w:rsidRPr="00727BBB" w:rsidTr="00FA17C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noWrap/>
                <w:hideMark/>
              </w:tcPr>
              <w:p w:rsidR="00FA17CC" w:rsidRPr="00727BBB" w:rsidRDefault="00FA17CC" w:rsidP="00FA17CC">
                <w:pPr>
                  <w:rPr>
                    <w:rFonts w:eastAsia="Times New Roman" w:cs="Times New Roman"/>
                    <w:sz w:val="20"/>
                    <w:szCs w:val="20"/>
                    <w:lang w:eastAsia="es-ES"/>
                  </w:rPr>
                </w:pPr>
              </w:p>
            </w:tc>
            <w:tc>
              <w:tcPr>
                <w:tcW w:w="2420" w:type="dxa"/>
                <w:noWrap/>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FA17CC" w:rsidRPr="00727BBB" w:rsidTr="00FA17C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FA17CC" w:rsidRPr="00727BBB" w:rsidRDefault="00FA17CC" w:rsidP="00FA17CC">
                <w:pPr>
                  <w:jc w:val="center"/>
                  <w:rPr>
                    <w:rFonts w:eastAsia="Times New Roman" w:cs="Times New Roman"/>
                    <w:sz w:val="20"/>
                    <w:szCs w:val="20"/>
                    <w:lang w:eastAsia="es-ES"/>
                  </w:rPr>
                </w:pPr>
                <w:r w:rsidRPr="00727BBB">
                  <w:rPr>
                    <w:rFonts w:eastAsia="Times New Roman" w:cs="Times New Roman"/>
                    <w:sz w:val="20"/>
                    <w:szCs w:val="20"/>
                    <w:lang w:eastAsia="es-ES"/>
                  </w:rPr>
                  <w:t xml:space="preserve">Coeficiente de </w:t>
                </w:r>
                <w:r w:rsidR="003E04C5" w:rsidRPr="00727BBB">
                  <w:rPr>
                    <w:rFonts w:eastAsia="Times New Roman" w:cs="Times New Roman"/>
                    <w:sz w:val="20"/>
                    <w:szCs w:val="20"/>
                    <w:lang w:eastAsia="es-ES"/>
                  </w:rPr>
                  <w:t>sustitución</w:t>
                </w:r>
              </w:p>
            </w:tc>
            <w:tc>
              <w:tcPr>
                <w:tcW w:w="2420" w:type="dxa"/>
                <w:vMerge w:val="restart"/>
                <w:noWrap/>
                <w:hideMark/>
              </w:tcPr>
              <w:p w:rsidR="00FA17CC" w:rsidRPr="00727BBB" w:rsidRDefault="00FA17CC" w:rsidP="00FA17C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Aragón</w:t>
                </w:r>
              </w:p>
            </w:tc>
            <w:tc>
              <w:tcPr>
                <w:tcW w:w="2800" w:type="dxa"/>
                <w:vMerge w:val="restart"/>
                <w:noWrap/>
                <w:hideMark/>
              </w:tcPr>
              <w:p w:rsidR="00FA17CC" w:rsidRPr="00727BBB" w:rsidRDefault="00FA17CC" w:rsidP="00FA17CC">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GAL</w:t>
                </w:r>
              </w:p>
            </w:tc>
          </w:tr>
          <w:tr w:rsidR="00FA17CC" w:rsidRPr="00727BBB" w:rsidTr="00FA17C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FA17CC" w:rsidRPr="00727BBB" w:rsidRDefault="00FA17CC" w:rsidP="00FA17CC">
                <w:pPr>
                  <w:rPr>
                    <w:rFonts w:eastAsia="Times New Roman" w:cs="Times New Roman"/>
                    <w:sz w:val="20"/>
                    <w:szCs w:val="20"/>
                    <w:lang w:eastAsia="es-ES"/>
                  </w:rPr>
                </w:pPr>
              </w:p>
            </w:tc>
            <w:tc>
              <w:tcPr>
                <w:tcW w:w="2420" w:type="dxa"/>
                <w:vMerge/>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FA17CC" w:rsidRPr="00727BBB" w:rsidTr="00FA17CC">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FA17CC" w:rsidRPr="00727BBB" w:rsidRDefault="00FA17CC" w:rsidP="00FA17CC">
                <w:pPr>
                  <w:rPr>
                    <w:rFonts w:eastAsia="Times New Roman" w:cs="Times New Roman"/>
                    <w:sz w:val="20"/>
                    <w:szCs w:val="20"/>
                    <w:lang w:eastAsia="es-ES"/>
                  </w:rPr>
                </w:pPr>
              </w:p>
            </w:tc>
            <w:tc>
              <w:tcPr>
                <w:tcW w:w="2420" w:type="dxa"/>
                <w:noWrap/>
                <w:hideMark/>
              </w:tcPr>
              <w:p w:rsidR="00FA17CC" w:rsidRPr="00727BBB"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80,06%</w:t>
                </w:r>
              </w:p>
            </w:tc>
            <w:tc>
              <w:tcPr>
                <w:tcW w:w="2800" w:type="dxa"/>
                <w:noWrap/>
                <w:hideMark/>
              </w:tcPr>
              <w:p w:rsidR="00FA17CC" w:rsidRPr="00727BBB" w:rsidRDefault="00FA17CC" w:rsidP="00FA17C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27BBB">
                  <w:rPr>
                    <w:rFonts w:eastAsia="Times New Roman" w:cs="Times New Roman"/>
                    <w:b/>
                    <w:bCs/>
                    <w:sz w:val="20"/>
                    <w:szCs w:val="20"/>
                    <w:lang w:eastAsia="es-ES"/>
                  </w:rPr>
                  <w:t>76,27%</w:t>
                </w:r>
              </w:p>
            </w:tc>
          </w:tr>
          <w:tr w:rsidR="00FA17CC" w:rsidRPr="00727BBB" w:rsidTr="00FA17CC">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500" w:type="dxa"/>
                <w:hideMark/>
              </w:tcPr>
              <w:p w:rsidR="00FA17CC" w:rsidRPr="00727BBB" w:rsidRDefault="00FA17CC" w:rsidP="00FA17CC">
                <w:pPr>
                  <w:rPr>
                    <w:rFonts w:eastAsia="Times New Roman" w:cs="Times New Roman"/>
                    <w:sz w:val="20"/>
                    <w:szCs w:val="20"/>
                    <w:lang w:eastAsia="es-ES"/>
                  </w:rPr>
                </w:pPr>
                <w:r w:rsidRPr="00727BBB">
                  <w:rPr>
                    <w:rFonts w:eastAsia="Times New Roman" w:cs="Times New Roman"/>
                    <w:sz w:val="20"/>
                    <w:szCs w:val="20"/>
                    <w:lang w:eastAsia="es-ES"/>
                  </w:rPr>
                  <w:t>(número de personas de 10 a 14 años entre personas de 60 a 64 años)</w:t>
                </w:r>
              </w:p>
            </w:tc>
            <w:tc>
              <w:tcPr>
                <w:tcW w:w="2420" w:type="dxa"/>
                <w:noWrap/>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FA17CC" w:rsidRPr="00727BBB" w:rsidRDefault="00FA17CC" w:rsidP="00FA17C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8222AC" w:rsidRDefault="00FA17CC" w:rsidP="00727BBB">
          <w:pPr>
            <w:ind w:left="142"/>
            <w:jc w:val="both"/>
            <w:rPr>
              <w:b/>
              <w:sz w:val="24"/>
              <w:szCs w:val="24"/>
            </w:rPr>
          </w:pPr>
          <w:r>
            <w:rPr>
              <w:noProof/>
              <w:lang w:eastAsia="es-ES"/>
            </w:rPr>
            <w:drawing>
              <wp:inline distT="0" distB="0" distL="0" distR="0" wp14:anchorId="27B98016" wp14:editId="127384CA">
                <wp:extent cx="5400040" cy="2668859"/>
                <wp:effectExtent l="0" t="0" r="10160" b="1778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E04C5" w:rsidRPr="00974B32" w:rsidRDefault="003E04C5" w:rsidP="00727BBB">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FA17CC" w:rsidP="00FA17CC">
          <w:pPr>
            <w:pStyle w:val="Prrafodelista"/>
            <w:ind w:hanging="578"/>
            <w:jc w:val="both"/>
            <w:rPr>
              <w:b/>
              <w:sz w:val="24"/>
              <w:szCs w:val="24"/>
            </w:rPr>
          </w:pPr>
          <w:r>
            <w:rPr>
              <w:noProof/>
              <w:lang w:eastAsia="es-ES"/>
            </w:rPr>
            <w:drawing>
              <wp:inline distT="0" distB="0" distL="0" distR="0" wp14:anchorId="7C0AC59F" wp14:editId="444C6EB4">
                <wp:extent cx="5242560" cy="2357120"/>
                <wp:effectExtent l="0" t="0" r="15240" b="2413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353"/>
            <w:gridCol w:w="1287"/>
          </w:tblGrid>
          <w:tr w:rsidR="003A36B8" w:rsidRPr="003A36B8" w:rsidTr="003A36B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A36B8" w:rsidRPr="003A36B8" w:rsidRDefault="003A36B8" w:rsidP="003A36B8">
                <w:pPr>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 </w:t>
                </w:r>
              </w:p>
            </w:tc>
            <w:tc>
              <w:tcPr>
                <w:tcW w:w="2960" w:type="dxa"/>
                <w:gridSpan w:val="2"/>
                <w:noWrap/>
                <w:hideMark/>
              </w:tcPr>
              <w:p w:rsidR="003A36B8" w:rsidRPr="003A36B8" w:rsidRDefault="003A36B8" w:rsidP="003A36B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2012</w:t>
                </w:r>
              </w:p>
            </w:tc>
            <w:tc>
              <w:tcPr>
                <w:tcW w:w="2640" w:type="dxa"/>
                <w:gridSpan w:val="2"/>
                <w:noWrap/>
                <w:hideMark/>
              </w:tcPr>
              <w:p w:rsidR="003A36B8" w:rsidRPr="003A36B8" w:rsidRDefault="003A36B8" w:rsidP="003A36B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2011</w:t>
                </w:r>
              </w:p>
            </w:tc>
          </w:tr>
          <w:tr w:rsidR="003A36B8" w:rsidRPr="003A36B8" w:rsidTr="003A3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A36B8" w:rsidRPr="003A36B8" w:rsidRDefault="003A36B8" w:rsidP="003A36B8">
                <w:pPr>
                  <w:rPr>
                    <w:rFonts w:ascii="Arial" w:eastAsia="Times New Roman" w:hAnsi="Arial" w:cs="Arial"/>
                    <w:sz w:val="16"/>
                    <w:szCs w:val="16"/>
                    <w:lang w:eastAsia="es-ES"/>
                  </w:rPr>
                </w:pPr>
                <w:r w:rsidRPr="003A36B8">
                  <w:rPr>
                    <w:rFonts w:ascii="Arial" w:eastAsia="Times New Roman" w:hAnsi="Arial" w:cs="Arial"/>
                    <w:sz w:val="16"/>
                    <w:szCs w:val="16"/>
                    <w:lang w:eastAsia="es-ES"/>
                  </w:rPr>
                  <w:t>Nacidos vivos por cada mil habitantes.</w:t>
                </w:r>
              </w:p>
            </w:tc>
            <w:tc>
              <w:tcPr>
                <w:tcW w:w="1517"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 xml:space="preserve">Aragón </w:t>
                </w:r>
              </w:p>
            </w:tc>
            <w:tc>
              <w:tcPr>
                <w:tcW w:w="1443"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GAL</w:t>
                </w:r>
              </w:p>
            </w:tc>
            <w:tc>
              <w:tcPr>
                <w:tcW w:w="1353"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 xml:space="preserve">Aragón </w:t>
                </w:r>
              </w:p>
            </w:tc>
            <w:tc>
              <w:tcPr>
                <w:tcW w:w="1287"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GAL</w:t>
                </w:r>
              </w:p>
            </w:tc>
          </w:tr>
          <w:tr w:rsidR="003A36B8" w:rsidRPr="003A36B8" w:rsidTr="003A36B8">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A36B8" w:rsidRPr="003A36B8" w:rsidRDefault="003A36B8" w:rsidP="003A36B8">
                <w:pPr>
                  <w:rPr>
                    <w:rFonts w:ascii="Arial" w:eastAsia="Times New Roman" w:hAnsi="Arial" w:cs="Arial"/>
                    <w:sz w:val="16"/>
                    <w:szCs w:val="16"/>
                    <w:lang w:eastAsia="es-ES"/>
                  </w:rPr>
                </w:pPr>
                <w:r w:rsidRPr="003A36B8">
                  <w:rPr>
                    <w:rFonts w:ascii="Arial" w:eastAsia="Times New Roman" w:hAnsi="Arial" w:cs="Arial"/>
                    <w:sz w:val="16"/>
                    <w:szCs w:val="16"/>
                    <w:lang w:eastAsia="es-ES"/>
                  </w:rPr>
                  <w:t>Tasa Bruta de Natalidad (‰).</w:t>
                </w:r>
              </w:p>
            </w:tc>
            <w:tc>
              <w:tcPr>
                <w:tcW w:w="1517"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8,878</w:t>
                </w:r>
              </w:p>
            </w:tc>
            <w:tc>
              <w:tcPr>
                <w:tcW w:w="1443"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6,338</w:t>
                </w:r>
              </w:p>
            </w:tc>
            <w:tc>
              <w:tcPr>
                <w:tcW w:w="1353"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9,366</w:t>
                </w:r>
              </w:p>
            </w:tc>
            <w:tc>
              <w:tcPr>
                <w:tcW w:w="1287"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6,576</w:t>
                </w:r>
              </w:p>
            </w:tc>
          </w:tr>
          <w:tr w:rsidR="003A36B8" w:rsidRPr="003A36B8" w:rsidTr="003A3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A36B8" w:rsidRPr="003A36B8" w:rsidRDefault="003A36B8" w:rsidP="003A36B8">
                <w:pPr>
                  <w:rPr>
                    <w:rFonts w:ascii="Calibri" w:eastAsia="Times New Roman" w:hAnsi="Calibri" w:cs="Times New Roman"/>
                    <w:color w:val="000000"/>
                    <w:lang w:eastAsia="es-ES"/>
                  </w:rPr>
                </w:pPr>
              </w:p>
            </w:tc>
            <w:tc>
              <w:tcPr>
                <w:tcW w:w="1517"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3A36B8" w:rsidRPr="003A36B8" w:rsidTr="003A36B8">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3A36B8" w:rsidRPr="003A36B8" w:rsidRDefault="003A36B8" w:rsidP="003A36B8">
                <w:pPr>
                  <w:rPr>
                    <w:rFonts w:ascii="Arial" w:eastAsia="Times New Roman" w:hAnsi="Arial" w:cs="Arial"/>
                    <w:sz w:val="16"/>
                    <w:szCs w:val="16"/>
                    <w:lang w:eastAsia="es-ES"/>
                  </w:rPr>
                </w:pPr>
                <w:r w:rsidRPr="003A36B8">
                  <w:rPr>
                    <w:rFonts w:ascii="Arial" w:eastAsia="Times New Roman" w:hAnsi="Arial" w:cs="Arial"/>
                    <w:sz w:val="16"/>
                    <w:szCs w:val="16"/>
                    <w:lang w:eastAsia="es-ES"/>
                  </w:rPr>
                  <w:t>Defunciones por cada mil habitantes.</w:t>
                </w:r>
              </w:p>
            </w:tc>
            <w:tc>
              <w:tcPr>
                <w:tcW w:w="1517"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 xml:space="preserve">Aragón </w:t>
                </w:r>
              </w:p>
            </w:tc>
            <w:tc>
              <w:tcPr>
                <w:tcW w:w="1443"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GAL</w:t>
                </w:r>
              </w:p>
            </w:tc>
            <w:tc>
              <w:tcPr>
                <w:tcW w:w="1353"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 xml:space="preserve">Aragón </w:t>
                </w:r>
              </w:p>
            </w:tc>
            <w:tc>
              <w:tcPr>
                <w:tcW w:w="1287"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GAL</w:t>
                </w:r>
              </w:p>
            </w:tc>
          </w:tr>
          <w:tr w:rsidR="003A36B8" w:rsidRPr="003A36B8" w:rsidTr="003A3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A36B8" w:rsidRPr="003A36B8" w:rsidRDefault="003A36B8" w:rsidP="003A36B8">
                <w:pPr>
                  <w:rPr>
                    <w:rFonts w:ascii="Arial" w:eastAsia="Times New Roman" w:hAnsi="Arial" w:cs="Arial"/>
                    <w:sz w:val="16"/>
                    <w:szCs w:val="16"/>
                    <w:lang w:eastAsia="es-ES"/>
                  </w:rPr>
                </w:pPr>
                <w:r w:rsidRPr="003A36B8">
                  <w:rPr>
                    <w:rFonts w:ascii="Arial" w:eastAsia="Times New Roman" w:hAnsi="Arial" w:cs="Arial"/>
                    <w:sz w:val="16"/>
                    <w:szCs w:val="16"/>
                    <w:lang w:eastAsia="es-ES"/>
                  </w:rPr>
                  <w:t>Tasa Bruta de Mortalidad (‰).</w:t>
                </w:r>
              </w:p>
            </w:tc>
            <w:tc>
              <w:tcPr>
                <w:tcW w:w="1517"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10,170</w:t>
                </w:r>
              </w:p>
            </w:tc>
            <w:tc>
              <w:tcPr>
                <w:tcW w:w="1443"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13,196</w:t>
                </w:r>
              </w:p>
            </w:tc>
            <w:tc>
              <w:tcPr>
                <w:tcW w:w="1353"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10,067</w:t>
                </w:r>
              </w:p>
            </w:tc>
            <w:tc>
              <w:tcPr>
                <w:tcW w:w="1287"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12,579</w:t>
                </w:r>
              </w:p>
            </w:tc>
          </w:tr>
          <w:tr w:rsidR="003A36B8" w:rsidRPr="003A36B8" w:rsidTr="003A36B8">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A36B8" w:rsidRPr="003A36B8" w:rsidRDefault="003A36B8" w:rsidP="003A36B8">
                <w:pPr>
                  <w:rPr>
                    <w:rFonts w:ascii="Calibri" w:eastAsia="Times New Roman" w:hAnsi="Calibri" w:cs="Times New Roman"/>
                    <w:color w:val="000000"/>
                    <w:lang w:eastAsia="es-ES"/>
                  </w:rPr>
                </w:pPr>
              </w:p>
            </w:tc>
            <w:tc>
              <w:tcPr>
                <w:tcW w:w="1517"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3A36B8" w:rsidRPr="003A36B8" w:rsidTr="003A36B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3A36B8" w:rsidRPr="003A36B8" w:rsidRDefault="003A36B8" w:rsidP="003A36B8">
                <w:pPr>
                  <w:rPr>
                    <w:rFonts w:ascii="Arial" w:eastAsia="Times New Roman" w:hAnsi="Arial" w:cs="Arial"/>
                    <w:sz w:val="16"/>
                    <w:szCs w:val="16"/>
                    <w:lang w:eastAsia="es-ES"/>
                  </w:rPr>
                </w:pPr>
                <w:r w:rsidRPr="003A36B8">
                  <w:rPr>
                    <w:rFonts w:ascii="Arial" w:eastAsia="Times New Roman" w:hAnsi="Arial" w:cs="Arial"/>
                    <w:sz w:val="16"/>
                    <w:szCs w:val="16"/>
                    <w:lang w:eastAsia="es-ES"/>
                  </w:rPr>
                  <w:t>Saldo vegetativo (nacimientos menos defunciones) por cada mil habitantes.</w:t>
                </w:r>
              </w:p>
            </w:tc>
            <w:tc>
              <w:tcPr>
                <w:tcW w:w="1517"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 xml:space="preserve">Aragón </w:t>
                </w:r>
              </w:p>
            </w:tc>
            <w:tc>
              <w:tcPr>
                <w:tcW w:w="1443"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GAL</w:t>
                </w:r>
              </w:p>
            </w:tc>
            <w:tc>
              <w:tcPr>
                <w:tcW w:w="1353"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 xml:space="preserve">Aragón </w:t>
                </w:r>
              </w:p>
            </w:tc>
            <w:tc>
              <w:tcPr>
                <w:tcW w:w="1287"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GAL</w:t>
                </w:r>
              </w:p>
            </w:tc>
          </w:tr>
          <w:tr w:rsidR="003A36B8" w:rsidRPr="003A36B8" w:rsidTr="003A36B8">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A36B8" w:rsidRPr="003A36B8" w:rsidRDefault="003A36B8" w:rsidP="003A36B8">
                <w:pPr>
                  <w:rPr>
                    <w:rFonts w:ascii="Arial" w:eastAsia="Times New Roman" w:hAnsi="Arial" w:cs="Arial"/>
                    <w:sz w:val="16"/>
                    <w:szCs w:val="16"/>
                    <w:lang w:eastAsia="es-ES"/>
                  </w:rPr>
                </w:pPr>
                <w:r w:rsidRPr="003A36B8">
                  <w:rPr>
                    <w:rFonts w:ascii="Arial" w:eastAsia="Times New Roman" w:hAnsi="Arial" w:cs="Arial"/>
                    <w:sz w:val="16"/>
                    <w:szCs w:val="16"/>
                    <w:lang w:eastAsia="es-ES"/>
                  </w:rPr>
                  <w:t>Tasa Bruta de Crecimiento Vegetativo (‰)</w:t>
                </w:r>
              </w:p>
            </w:tc>
            <w:tc>
              <w:tcPr>
                <w:tcW w:w="1517"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-1,292</w:t>
                </w:r>
              </w:p>
            </w:tc>
            <w:tc>
              <w:tcPr>
                <w:tcW w:w="1443"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-6,858</w:t>
                </w:r>
              </w:p>
            </w:tc>
            <w:tc>
              <w:tcPr>
                <w:tcW w:w="1353"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-0,700</w:t>
                </w:r>
              </w:p>
            </w:tc>
            <w:tc>
              <w:tcPr>
                <w:tcW w:w="1287"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-6,003</w:t>
                </w:r>
              </w:p>
            </w:tc>
          </w:tr>
          <w:tr w:rsidR="003A36B8" w:rsidRPr="003A36B8" w:rsidTr="003A3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A36B8" w:rsidRPr="003A36B8" w:rsidRDefault="003A36B8" w:rsidP="003A36B8">
                <w:pPr>
                  <w:rPr>
                    <w:rFonts w:ascii="Calibri" w:eastAsia="Times New Roman" w:hAnsi="Calibri" w:cs="Times New Roman"/>
                    <w:color w:val="000000"/>
                    <w:lang w:eastAsia="es-ES"/>
                  </w:rPr>
                </w:pPr>
              </w:p>
            </w:tc>
            <w:tc>
              <w:tcPr>
                <w:tcW w:w="1517" w:type="dxa"/>
                <w:noWrap/>
                <w:hideMark/>
              </w:tcPr>
              <w:p w:rsidR="003A36B8" w:rsidRPr="003A36B8" w:rsidRDefault="003A36B8" w:rsidP="003A3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3A36B8" w:rsidRPr="003A36B8" w:rsidRDefault="003A36B8" w:rsidP="003A3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3A36B8" w:rsidRPr="003A36B8" w:rsidRDefault="003A36B8" w:rsidP="003A3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3A36B8" w:rsidRPr="003A36B8" w:rsidRDefault="003A36B8" w:rsidP="003A36B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3A36B8" w:rsidRPr="003A36B8" w:rsidTr="003A36B8">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A36B8" w:rsidRPr="003A36B8" w:rsidRDefault="003A36B8" w:rsidP="003A36B8">
                <w:pPr>
                  <w:rPr>
                    <w:rFonts w:ascii="Arial" w:eastAsia="Times New Roman" w:hAnsi="Arial" w:cs="Arial"/>
                    <w:sz w:val="16"/>
                    <w:szCs w:val="16"/>
                    <w:lang w:eastAsia="es-ES"/>
                  </w:rPr>
                </w:pPr>
                <w:r w:rsidRPr="003A36B8">
                  <w:rPr>
                    <w:rFonts w:ascii="Arial" w:eastAsia="Times New Roman" w:hAnsi="Arial" w:cs="Arial"/>
                    <w:sz w:val="16"/>
                    <w:szCs w:val="16"/>
                    <w:lang w:eastAsia="es-ES"/>
                  </w:rPr>
                  <w:t>Matrimonios por cada mil habitantes.</w:t>
                </w:r>
              </w:p>
            </w:tc>
            <w:tc>
              <w:tcPr>
                <w:tcW w:w="1517"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 xml:space="preserve">Aragón </w:t>
                </w:r>
              </w:p>
            </w:tc>
            <w:tc>
              <w:tcPr>
                <w:tcW w:w="1443"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GAL</w:t>
                </w:r>
              </w:p>
            </w:tc>
            <w:tc>
              <w:tcPr>
                <w:tcW w:w="1353"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 xml:space="preserve">Aragón </w:t>
                </w:r>
              </w:p>
            </w:tc>
            <w:tc>
              <w:tcPr>
                <w:tcW w:w="1287" w:type="dxa"/>
                <w:noWrap/>
                <w:hideMark/>
              </w:tcPr>
              <w:p w:rsidR="003A36B8" w:rsidRPr="003A36B8" w:rsidRDefault="003A36B8" w:rsidP="003A36B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GAL</w:t>
                </w:r>
              </w:p>
            </w:tc>
          </w:tr>
          <w:tr w:rsidR="003A36B8" w:rsidRPr="003A36B8" w:rsidTr="003A3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A36B8" w:rsidRPr="003A36B8" w:rsidRDefault="003A36B8" w:rsidP="003A36B8">
                <w:pPr>
                  <w:rPr>
                    <w:rFonts w:ascii="Arial" w:eastAsia="Times New Roman" w:hAnsi="Arial" w:cs="Arial"/>
                    <w:sz w:val="16"/>
                    <w:szCs w:val="16"/>
                    <w:lang w:eastAsia="es-ES"/>
                  </w:rPr>
                </w:pPr>
                <w:r w:rsidRPr="003A36B8">
                  <w:rPr>
                    <w:rFonts w:ascii="Arial" w:eastAsia="Times New Roman" w:hAnsi="Arial" w:cs="Arial"/>
                    <w:sz w:val="16"/>
                    <w:szCs w:val="16"/>
                    <w:lang w:eastAsia="es-ES"/>
                  </w:rPr>
                  <w:t>Tasa Bruta de Nupcialidad (‰).</w:t>
                </w:r>
              </w:p>
            </w:tc>
            <w:tc>
              <w:tcPr>
                <w:tcW w:w="1517"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3,492</w:t>
                </w:r>
              </w:p>
            </w:tc>
            <w:tc>
              <w:tcPr>
                <w:tcW w:w="1443"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2,786</w:t>
                </w:r>
              </w:p>
            </w:tc>
            <w:tc>
              <w:tcPr>
                <w:tcW w:w="1353"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3,205</w:t>
                </w:r>
              </w:p>
            </w:tc>
            <w:tc>
              <w:tcPr>
                <w:tcW w:w="1287" w:type="dxa"/>
                <w:noWrap/>
                <w:hideMark/>
              </w:tcPr>
              <w:p w:rsidR="003A36B8" w:rsidRPr="003A36B8" w:rsidRDefault="003A36B8" w:rsidP="003A36B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3A36B8">
                  <w:rPr>
                    <w:rFonts w:ascii="Calibri" w:eastAsia="Times New Roman" w:hAnsi="Calibri" w:cs="Times New Roman"/>
                    <w:color w:val="000000"/>
                    <w:lang w:eastAsia="es-ES"/>
                  </w:rPr>
                  <w:t>2,685</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106908" w:rsidP="00106908">
          <w:pPr>
            <w:pStyle w:val="Prrafodelista"/>
            <w:jc w:val="both"/>
            <w:rPr>
              <w:b/>
              <w:sz w:val="24"/>
              <w:szCs w:val="24"/>
            </w:rPr>
          </w:pPr>
          <w:r>
            <w:rPr>
              <w:noProof/>
              <w:lang w:eastAsia="es-ES"/>
            </w:rPr>
            <w:drawing>
              <wp:inline distT="0" distB="0" distL="0" distR="0" wp14:anchorId="433FD8AA" wp14:editId="0367D378">
                <wp:extent cx="4947920" cy="2316480"/>
                <wp:effectExtent l="0" t="0" r="24130" b="2667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4196D" w:rsidRDefault="0064196D" w:rsidP="00DA6CCE">
          <w:pPr>
            <w:pStyle w:val="Prrafodelista"/>
            <w:jc w:val="both"/>
            <w:rPr>
              <w:b/>
              <w:sz w:val="24"/>
              <w:szCs w:val="24"/>
            </w:rPr>
          </w:pPr>
        </w:p>
        <w:p w:rsidR="003E04C5" w:rsidRPr="00EE4D4D" w:rsidRDefault="003E04C5"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lastRenderedPageBreak/>
            <w:t>Porcentaje de llegada de hombres y mujeres extranjeros:</w:t>
          </w:r>
        </w:p>
        <w:p w:rsidR="00E87CD9" w:rsidRPr="00E87CD9" w:rsidRDefault="00E87CD9" w:rsidP="00DA6CCE">
          <w:pPr>
            <w:pStyle w:val="Prrafodelista"/>
            <w:jc w:val="both"/>
            <w:rPr>
              <w:b/>
              <w:sz w:val="24"/>
              <w:szCs w:val="24"/>
            </w:rPr>
          </w:pPr>
        </w:p>
        <w:p w:rsidR="00E87CD9" w:rsidRDefault="00106908" w:rsidP="00106908">
          <w:pPr>
            <w:pStyle w:val="Prrafodelista"/>
            <w:ind w:left="142" w:right="-568"/>
            <w:jc w:val="both"/>
            <w:rPr>
              <w:b/>
              <w:sz w:val="24"/>
              <w:szCs w:val="24"/>
            </w:rPr>
          </w:pPr>
          <w:r>
            <w:rPr>
              <w:b/>
              <w:noProof/>
              <w:sz w:val="24"/>
              <w:szCs w:val="24"/>
              <w:lang w:eastAsia="es-ES"/>
            </w:rPr>
            <w:drawing>
              <wp:inline distT="0" distB="0" distL="0" distR="0" wp14:anchorId="412850AD" wp14:editId="42ABCB86">
                <wp:extent cx="2753360" cy="1503680"/>
                <wp:effectExtent l="0" t="0" r="889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3360" cy="1503680"/>
                        </a:xfrm>
                        <a:prstGeom prst="rect">
                          <a:avLst/>
                        </a:prstGeom>
                        <a:noFill/>
                      </pic:spPr>
                    </pic:pic>
                  </a:graphicData>
                </a:graphic>
              </wp:inline>
            </w:drawing>
          </w:r>
          <w:r w:rsidR="009655AC">
            <w:rPr>
              <w:b/>
              <w:noProof/>
              <w:sz w:val="24"/>
              <w:szCs w:val="24"/>
              <w:lang w:eastAsia="es-ES"/>
            </w:rPr>
            <w:drawing>
              <wp:inline distT="0" distB="0" distL="0" distR="0" wp14:anchorId="7A2446F0">
                <wp:extent cx="2753360" cy="150339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6214" cy="1504953"/>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w:lastRenderedPageBreak/>
            <mc:AlternateContent>
              <mc:Choice Requires="wps">
                <w:drawing>
                  <wp:anchor distT="0" distB="0" distL="114300" distR="114300" simplePos="0" relativeHeight="251662336" behindDoc="0" locked="0" layoutInCell="1" allowOverlap="1" wp14:anchorId="2AE73ED4" wp14:editId="04620A7C">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2748A7" w:rsidP="00DA6CCE">
          <w:pPr>
            <w:pStyle w:val="Prrafodelista"/>
            <w:tabs>
              <w:tab w:val="left" w:pos="3456"/>
            </w:tabs>
            <w:ind w:left="284"/>
            <w:jc w:val="both"/>
            <w:rPr>
              <w:b/>
            </w:rPr>
          </w:pPr>
          <w:r>
            <w:rPr>
              <w:noProof/>
              <w:lang w:eastAsia="es-ES"/>
            </w:rPr>
            <w:drawing>
              <wp:inline distT="0" distB="0" distL="0" distR="0" wp14:anchorId="4038E4C1" wp14:editId="61AC924F">
                <wp:extent cx="5405120" cy="3423920"/>
                <wp:effectExtent l="0" t="0" r="24130" b="2413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8222AC" w:rsidRPr="002748A7" w:rsidRDefault="002748A7" w:rsidP="002748A7">
          <w:pPr>
            <w:pStyle w:val="Prrafodelista"/>
            <w:tabs>
              <w:tab w:val="left" w:pos="3456"/>
            </w:tabs>
            <w:ind w:left="284"/>
            <w:jc w:val="both"/>
            <w:rPr>
              <w:b/>
            </w:rPr>
          </w:pPr>
          <w:r>
            <w:rPr>
              <w:noProof/>
              <w:lang w:eastAsia="es-ES"/>
            </w:rPr>
            <w:drawing>
              <wp:inline distT="0" distB="0" distL="0" distR="0" wp14:anchorId="3475C481" wp14:editId="2500609B">
                <wp:extent cx="5405120" cy="3423920"/>
                <wp:effectExtent l="0" t="0" r="24130" b="2413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84D47" w:rsidRDefault="00A84D47"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lastRenderedPageBreak/>
            <w:t xml:space="preserve">Estructura de altas en la seguridad social por sexo y grupos de edad (Septiembre 2014) </w:t>
          </w:r>
        </w:p>
        <w:p w:rsidR="00A84D47" w:rsidRDefault="00C85969" w:rsidP="00DA6CCE">
          <w:pPr>
            <w:pStyle w:val="Prrafodelista"/>
            <w:tabs>
              <w:tab w:val="left" w:pos="3456"/>
            </w:tabs>
            <w:ind w:left="0"/>
            <w:jc w:val="both"/>
            <w:rPr>
              <w:b/>
            </w:rPr>
          </w:pPr>
          <w:r>
            <w:rPr>
              <w:noProof/>
              <w:lang w:eastAsia="es-ES"/>
            </w:rPr>
            <w:drawing>
              <wp:inline distT="0" distB="0" distL="0" distR="0" wp14:anchorId="1A86E8B0" wp14:editId="44995B43">
                <wp:extent cx="5811520" cy="2976880"/>
                <wp:effectExtent l="0" t="0" r="17780" b="1397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C85969" w:rsidP="00DA6CCE">
          <w:pPr>
            <w:pStyle w:val="Prrafodelista"/>
            <w:tabs>
              <w:tab w:val="left" w:pos="3456"/>
            </w:tabs>
            <w:ind w:left="0"/>
            <w:jc w:val="both"/>
            <w:rPr>
              <w:b/>
            </w:rPr>
          </w:pPr>
          <w:r>
            <w:rPr>
              <w:noProof/>
              <w:lang w:eastAsia="es-ES"/>
            </w:rPr>
            <w:drawing>
              <wp:inline distT="0" distB="0" distL="0" distR="0" wp14:anchorId="4A4F0370" wp14:editId="5443C151">
                <wp:extent cx="5933440" cy="3068320"/>
                <wp:effectExtent l="0" t="0" r="10160" b="1778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lastRenderedPageBreak/>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C85969" w:rsidP="00DA6CCE">
          <w:pPr>
            <w:pStyle w:val="Prrafodelista"/>
            <w:tabs>
              <w:tab w:val="left" w:pos="3456"/>
            </w:tabs>
            <w:ind w:left="0"/>
            <w:jc w:val="both"/>
            <w:rPr>
              <w:b/>
            </w:rPr>
          </w:pPr>
          <w:r>
            <w:rPr>
              <w:noProof/>
              <w:lang w:eastAsia="es-ES"/>
            </w:rPr>
            <w:drawing>
              <wp:inline distT="0" distB="0" distL="0" distR="0" wp14:anchorId="465C3444" wp14:editId="5A4DE77F">
                <wp:extent cx="5416390" cy="3291840"/>
                <wp:effectExtent l="0" t="0" r="13335" b="2286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Pr="00001DA8"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B56B75" w:rsidRDefault="00C85969" w:rsidP="00DA6CCE">
          <w:pPr>
            <w:pStyle w:val="Prrafodelista"/>
            <w:tabs>
              <w:tab w:val="left" w:pos="3456"/>
            </w:tabs>
            <w:ind w:left="0"/>
            <w:jc w:val="both"/>
            <w:rPr>
              <w:b/>
            </w:rPr>
          </w:pPr>
          <w:r>
            <w:rPr>
              <w:noProof/>
              <w:lang w:eastAsia="es-ES"/>
            </w:rPr>
            <w:drawing>
              <wp:inline distT="0" distB="0" distL="0" distR="0" wp14:anchorId="79B6E852" wp14:editId="78FB9549">
                <wp:extent cx="5405120" cy="3972560"/>
                <wp:effectExtent l="0" t="0" r="24130" b="2794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56B75" w:rsidRDefault="00B56B75" w:rsidP="00DA6CCE">
          <w:pPr>
            <w:pStyle w:val="Prrafodelista"/>
            <w:tabs>
              <w:tab w:val="left" w:pos="3456"/>
            </w:tabs>
            <w:ind w:left="0"/>
            <w:jc w:val="both"/>
            <w:rPr>
              <w:b/>
            </w:rPr>
          </w:pPr>
        </w:p>
        <w:p w:rsidR="00746BD5" w:rsidRPr="003E04C5" w:rsidRDefault="00746BD5" w:rsidP="003E04C5">
          <w:pPr>
            <w:tabs>
              <w:tab w:val="left" w:pos="3456"/>
            </w:tabs>
            <w:jc w:val="both"/>
            <w:rPr>
              <w:b/>
            </w:rPr>
          </w:pPr>
        </w:p>
        <w:p w:rsidR="00D16764" w:rsidRPr="00AF7330" w:rsidRDefault="00746BD5" w:rsidP="00DA6CCE">
          <w:pPr>
            <w:pStyle w:val="Prrafodelista"/>
            <w:numPr>
              <w:ilvl w:val="0"/>
              <w:numId w:val="1"/>
            </w:numPr>
            <w:tabs>
              <w:tab w:val="left" w:pos="3456"/>
            </w:tabs>
            <w:jc w:val="both"/>
            <w:rPr>
              <w:b/>
            </w:rPr>
          </w:pPr>
          <w:r w:rsidRPr="009257EF">
            <w:rPr>
              <w:b/>
            </w:rPr>
            <w:lastRenderedPageBreak/>
            <w:t>Promedio de las fuentes tributarias que existen de cada tipo en el grupo ADE</w:t>
          </w:r>
          <w:r w:rsidR="00963578">
            <w:rPr>
              <w:b/>
            </w:rPr>
            <w:t>FO</w:t>
          </w:r>
          <w:r w:rsidR="00AF7330">
            <w:rPr>
              <w:b/>
            </w:rPr>
            <w:t xml:space="preserve"> </w:t>
          </w:r>
          <w:r w:rsidR="00AF7330" w:rsidRPr="00AF7330">
            <w:rPr>
              <w:b/>
            </w:rPr>
            <w:t>(2010).</w:t>
          </w:r>
        </w:p>
        <w:tbl>
          <w:tblPr>
            <w:tblStyle w:val="Sombreadoclaro-nfasis4"/>
            <w:tblW w:w="8400" w:type="dxa"/>
            <w:tblInd w:w="539" w:type="dxa"/>
            <w:tblLook w:val="04A0" w:firstRow="1" w:lastRow="0" w:firstColumn="1" w:lastColumn="0" w:noHBand="0" w:noVBand="1"/>
          </w:tblPr>
          <w:tblGrid>
            <w:gridCol w:w="1325"/>
            <w:gridCol w:w="1906"/>
            <w:gridCol w:w="2085"/>
            <w:gridCol w:w="2160"/>
            <w:gridCol w:w="924"/>
          </w:tblGrid>
          <w:tr w:rsidR="003E04C5" w:rsidRPr="00924E6A" w:rsidTr="003E04C5">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25" w:type="dxa"/>
                <w:vMerge w:val="restart"/>
                <w:noWrap/>
                <w:hideMark/>
              </w:tcPr>
              <w:p w:rsidR="003E04C5" w:rsidRPr="00924E6A" w:rsidRDefault="003E04C5" w:rsidP="00924E6A">
                <w:pPr>
                  <w:rPr>
                    <w:rFonts w:ascii="Calibri" w:eastAsia="Times New Roman" w:hAnsi="Calibri" w:cs="Times New Roman"/>
                    <w:color w:val="000000"/>
                    <w:lang w:eastAsia="es-ES"/>
                  </w:rPr>
                </w:pPr>
                <w:r w:rsidRPr="00924E6A">
                  <w:rPr>
                    <w:rFonts w:ascii="Calibri" w:eastAsia="Times New Roman" w:hAnsi="Calibri" w:cs="Times New Roman"/>
                    <w:color w:val="000000"/>
                    <w:lang w:eastAsia="es-ES"/>
                  </w:rPr>
                  <w:t>ADEFO</w:t>
                </w:r>
              </w:p>
            </w:tc>
            <w:tc>
              <w:tcPr>
                <w:tcW w:w="1906" w:type="dxa"/>
                <w:noWrap/>
                <w:hideMark/>
              </w:tcPr>
              <w:p w:rsidR="003E04C5" w:rsidRPr="00924E6A" w:rsidRDefault="003E04C5" w:rsidP="003E04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24E6A">
                  <w:rPr>
                    <w:rFonts w:ascii="Calibri" w:eastAsia="Times New Roman" w:hAnsi="Calibri" w:cs="Times New Roman"/>
                    <w:color w:val="000000"/>
                    <w:lang w:eastAsia="es-ES"/>
                  </w:rPr>
                  <w:t>Total percepciones salarios</w:t>
                </w:r>
              </w:p>
            </w:tc>
            <w:tc>
              <w:tcPr>
                <w:tcW w:w="2085" w:type="dxa"/>
                <w:noWrap/>
                <w:hideMark/>
              </w:tcPr>
              <w:p w:rsidR="003E04C5" w:rsidRPr="00924E6A" w:rsidRDefault="003E04C5" w:rsidP="003E04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24E6A">
                  <w:rPr>
                    <w:rFonts w:ascii="Calibri" w:eastAsia="Times New Roman" w:hAnsi="Calibri" w:cs="Times New Roman"/>
                    <w:color w:val="000000"/>
                    <w:lang w:eastAsia="es-ES"/>
                  </w:rPr>
                  <w:t>Total Percepciones pensiones</w:t>
                </w:r>
              </w:p>
            </w:tc>
            <w:tc>
              <w:tcPr>
                <w:tcW w:w="2160" w:type="dxa"/>
                <w:noWrap/>
                <w:hideMark/>
              </w:tcPr>
              <w:p w:rsidR="003E04C5" w:rsidRPr="00924E6A" w:rsidRDefault="003E04C5" w:rsidP="003E04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24E6A">
                  <w:rPr>
                    <w:rFonts w:ascii="Calibri" w:eastAsia="Times New Roman" w:hAnsi="Calibri" w:cs="Times New Roman"/>
                    <w:color w:val="000000"/>
                    <w:lang w:eastAsia="es-ES"/>
                  </w:rPr>
                  <w:t>Total Percepciones desempleo</w:t>
                </w:r>
              </w:p>
            </w:tc>
            <w:tc>
              <w:tcPr>
                <w:tcW w:w="924" w:type="dxa"/>
                <w:noWrap/>
                <w:hideMark/>
              </w:tcPr>
              <w:p w:rsidR="003E04C5" w:rsidRPr="00924E6A" w:rsidRDefault="003E04C5" w:rsidP="003E04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color w:val="000000"/>
                    <w:lang w:eastAsia="es-ES"/>
                  </w:rPr>
                  <w:t>Padró</w:t>
                </w:r>
                <w:r w:rsidRPr="00924E6A">
                  <w:rPr>
                    <w:rFonts w:ascii="Calibri" w:eastAsia="Times New Roman" w:hAnsi="Calibri" w:cs="Times New Roman"/>
                    <w:color w:val="000000"/>
                    <w:lang w:eastAsia="es-ES"/>
                  </w:rPr>
                  <w:t>n total</w:t>
                </w:r>
              </w:p>
            </w:tc>
          </w:tr>
          <w:tr w:rsidR="003E04C5" w:rsidRPr="00924E6A" w:rsidTr="003E04C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25" w:type="dxa"/>
                <w:vMerge/>
                <w:noWrap/>
                <w:hideMark/>
              </w:tcPr>
              <w:p w:rsidR="003E04C5" w:rsidRPr="00924E6A" w:rsidRDefault="003E04C5" w:rsidP="00924E6A">
                <w:pPr>
                  <w:rPr>
                    <w:rFonts w:ascii="Calibri" w:eastAsia="Times New Roman" w:hAnsi="Calibri" w:cs="Times New Roman"/>
                    <w:color w:val="000000"/>
                    <w:lang w:eastAsia="es-ES"/>
                  </w:rPr>
                </w:pPr>
              </w:p>
            </w:tc>
            <w:tc>
              <w:tcPr>
                <w:tcW w:w="1906" w:type="dxa"/>
                <w:noWrap/>
                <w:hideMark/>
              </w:tcPr>
              <w:p w:rsidR="003E04C5" w:rsidRPr="00924E6A" w:rsidRDefault="003E04C5" w:rsidP="003E04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924E6A">
                  <w:rPr>
                    <w:rFonts w:ascii="Calibri" w:eastAsia="Times New Roman" w:hAnsi="Calibri" w:cs="Times New Roman"/>
                    <w:b/>
                    <w:bCs/>
                    <w:color w:val="000000"/>
                    <w:lang w:eastAsia="es-ES"/>
                  </w:rPr>
                  <w:t>14975</w:t>
                </w:r>
              </w:p>
            </w:tc>
            <w:tc>
              <w:tcPr>
                <w:tcW w:w="2085" w:type="dxa"/>
                <w:noWrap/>
                <w:hideMark/>
              </w:tcPr>
              <w:p w:rsidR="003E04C5" w:rsidRPr="00924E6A" w:rsidRDefault="003E04C5" w:rsidP="003E04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924E6A">
                  <w:rPr>
                    <w:rFonts w:ascii="Calibri" w:eastAsia="Times New Roman" w:hAnsi="Calibri" w:cs="Times New Roman"/>
                    <w:b/>
                    <w:bCs/>
                    <w:color w:val="000000"/>
                    <w:lang w:eastAsia="es-ES"/>
                  </w:rPr>
                  <w:t>8094</w:t>
                </w:r>
              </w:p>
            </w:tc>
            <w:tc>
              <w:tcPr>
                <w:tcW w:w="2160" w:type="dxa"/>
                <w:noWrap/>
                <w:hideMark/>
              </w:tcPr>
              <w:p w:rsidR="003E04C5" w:rsidRPr="00924E6A" w:rsidRDefault="003E04C5" w:rsidP="003E04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924E6A">
                  <w:rPr>
                    <w:rFonts w:ascii="Calibri" w:eastAsia="Times New Roman" w:hAnsi="Calibri" w:cs="Times New Roman"/>
                    <w:b/>
                    <w:bCs/>
                    <w:color w:val="000000"/>
                    <w:lang w:eastAsia="es-ES"/>
                  </w:rPr>
                  <w:t>3869</w:t>
                </w:r>
              </w:p>
            </w:tc>
            <w:tc>
              <w:tcPr>
                <w:tcW w:w="924" w:type="dxa"/>
                <w:noWrap/>
                <w:hideMark/>
              </w:tcPr>
              <w:p w:rsidR="003E04C5" w:rsidRPr="00924E6A" w:rsidRDefault="003E04C5" w:rsidP="003E04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924E6A">
                  <w:rPr>
                    <w:rFonts w:ascii="Calibri" w:eastAsia="Times New Roman" w:hAnsi="Calibri" w:cs="Times New Roman"/>
                    <w:b/>
                    <w:bCs/>
                    <w:color w:val="000000"/>
                    <w:lang w:eastAsia="es-ES"/>
                  </w:rPr>
                  <w:t>32074</w:t>
                </w:r>
              </w:p>
            </w:tc>
          </w:tr>
        </w:tbl>
        <w:p w:rsidR="00746BD5" w:rsidRDefault="00746BD5" w:rsidP="00DA6CCE">
          <w:pPr>
            <w:pStyle w:val="Prrafodelista"/>
            <w:tabs>
              <w:tab w:val="left" w:pos="3456"/>
            </w:tabs>
            <w:jc w:val="both"/>
            <w:rPr>
              <w:b/>
            </w:rPr>
          </w:pPr>
        </w:p>
        <w:p w:rsidR="00746BD5" w:rsidRDefault="00746BD5" w:rsidP="00DA6CCE">
          <w:pPr>
            <w:pStyle w:val="Prrafodelista"/>
            <w:tabs>
              <w:tab w:val="left" w:pos="3456"/>
            </w:tabs>
            <w:jc w:val="both"/>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p>
        <w:p w:rsidR="00545E51" w:rsidRDefault="00545E51" w:rsidP="00DA6CCE">
          <w:pPr>
            <w:pStyle w:val="Prrafodelista"/>
            <w:tabs>
              <w:tab w:val="left" w:pos="3456"/>
            </w:tabs>
            <w:ind w:left="284"/>
            <w:jc w:val="both"/>
            <w:rPr>
              <w:b/>
            </w:rPr>
          </w:pPr>
          <w:bookmarkStart w:id="0" w:name="_GoBack"/>
          <w:bookmarkEnd w:id="0"/>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siendo el Grupo de Acción Local ADE</w:t>
          </w:r>
          <w:r w:rsidR="00C709A3">
            <w:t>FO</w:t>
          </w:r>
          <w:r w:rsidRPr="003D4E91">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se trata de un grupo </w:t>
          </w:r>
          <w:r w:rsidR="00924E6A">
            <w:t>formado por la comarca de las cinco villas y engloba un total de 31 municipios.</w:t>
          </w:r>
        </w:p>
        <w:p w:rsidR="00D139A2" w:rsidRPr="003D4E91" w:rsidRDefault="00D139A2" w:rsidP="00DA6CCE">
          <w:pPr>
            <w:pStyle w:val="Prrafodelista"/>
            <w:tabs>
              <w:tab w:val="left" w:pos="3456"/>
            </w:tabs>
            <w:ind w:left="284"/>
            <w:jc w:val="both"/>
          </w:pPr>
        </w:p>
        <w:p w:rsidR="003D4E91" w:rsidRPr="00625167" w:rsidRDefault="001D4BF7" w:rsidP="00452FBF">
          <w:pPr>
            <w:pStyle w:val="Prrafodelista"/>
            <w:tabs>
              <w:tab w:val="left" w:pos="3456"/>
            </w:tabs>
            <w:ind w:left="284"/>
            <w:jc w:val="center"/>
            <w:rPr>
              <w:b/>
            </w:rPr>
          </w:pPr>
          <w:r>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pt;height:486.4pt">
                <v:imagedata r:id="rId36" o:title="localización"/>
              </v:shape>
            </w:pict>
          </w:r>
        </w:p>
        <w:p w:rsidR="00924E6A" w:rsidRDefault="00924E6A" w:rsidP="008D4C33">
          <w:pPr>
            <w:ind w:firstLine="708"/>
            <w:jc w:val="both"/>
          </w:pPr>
        </w:p>
        <w:p w:rsidR="008D4C33" w:rsidRDefault="00924E6A" w:rsidP="008D4C33">
          <w:pPr>
            <w:ind w:firstLine="708"/>
            <w:jc w:val="both"/>
          </w:pPr>
          <w:r>
            <w:lastRenderedPageBreak/>
            <w:t xml:space="preserve">El grupo de acción local </w:t>
          </w:r>
          <w:r w:rsidR="00727BBB">
            <w:t xml:space="preserve">ADEFO </w:t>
          </w:r>
          <w:r w:rsidR="00045654">
            <w:t>forma parte prácticamente en su totalidad de la margen izquierda de la depresión del Ebro y se localiza al norte de las sierras exteriores del Prepirinio. P</w:t>
          </w:r>
          <w:r w:rsidR="00727BBB">
            <w:t xml:space="preserve">resenta un relieve que no destaca precisamente por su elevada altitud sino que se caracteriza por las zonas bajas </w:t>
          </w:r>
          <w:r w:rsidR="00045654">
            <w:t>y se articula en torno a los ríos de la comarca. Además encontramos entre los elementos del medio físico del grupo ADEFO una serie de pequeños embalses.</w:t>
          </w:r>
        </w:p>
        <w:p w:rsidR="00FC644D" w:rsidRDefault="001D4BF7" w:rsidP="00B46A00">
          <w:pPr>
            <w:jc w:val="center"/>
            <w:rPr>
              <w:b/>
            </w:rPr>
          </w:pPr>
          <w:r>
            <w:rPr>
              <w:b/>
            </w:rPr>
            <w:pict>
              <v:shape id="_x0000_i1026" type="#_x0000_t75" style="width:424.8pt;height:600.8pt">
                <v:imagedata r:id="rId37" o:title="mediofisico"/>
              </v:shape>
            </w:pict>
          </w:r>
        </w:p>
        <w:p w:rsidR="003D4E91" w:rsidRDefault="003D4E91" w:rsidP="00DA6CCE">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924E6A">
            <w:t>ADE</w:t>
          </w:r>
          <w:r w:rsidR="00625B78">
            <w:t>FO</w:t>
          </w:r>
          <w:r w:rsidR="00924E6A">
            <w:t xml:space="preserve"> </w:t>
          </w:r>
          <w:r w:rsidR="00D139A2">
            <w:t xml:space="preserve">no existe ningún municipio que presente una tasa de feminidad superior a la de masculinidad por lo que podemos decir que, uno de los problemas que se pueden achacar a esta área es la alta </w:t>
          </w:r>
          <w:r w:rsidR="00D139A2" w:rsidRPr="00D139A2">
            <w:rPr>
              <w:b/>
            </w:rPr>
            <w:t>masculinización de su población.</w:t>
          </w:r>
          <w:r w:rsidRPr="00D139A2">
            <w:rPr>
              <w:b/>
            </w:rPr>
            <w:t xml:space="preserve"> </w:t>
          </w:r>
        </w:p>
        <w:p w:rsidR="003D4E91" w:rsidRDefault="001D4BF7" w:rsidP="00452FBF">
          <w:pPr>
            <w:jc w:val="center"/>
            <w:rPr>
              <w:b/>
            </w:rPr>
          </w:pPr>
          <w:r>
            <w:rPr>
              <w:b/>
            </w:rPr>
            <w:pict>
              <v:shape id="_x0000_i1027" type="#_x0000_t75" style="width:424.8pt;height:573.6pt">
                <v:imagedata r:id="rId38" o:title="densidadpob_feminimascu"/>
              </v:shape>
            </w:pict>
          </w:r>
        </w:p>
        <w:p w:rsidR="00592215" w:rsidRDefault="00592215" w:rsidP="00DA6CCE">
          <w:pPr>
            <w:jc w:val="both"/>
            <w:rPr>
              <w:b/>
            </w:rPr>
          </w:pPr>
        </w:p>
        <w:p w:rsidR="00592215" w:rsidRPr="00592215" w:rsidRDefault="00592215" w:rsidP="00DA6CCE">
          <w:pPr>
            <w:jc w:val="both"/>
          </w:pPr>
          <w:r>
            <w:rPr>
              <w:b/>
            </w:rPr>
            <w:lastRenderedPageBreak/>
            <w:tab/>
          </w:r>
          <w:r>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DB3992" w:rsidP="00452FBF">
          <w:pPr>
            <w:jc w:val="center"/>
            <w:rPr>
              <w:b/>
            </w:rPr>
          </w:pPr>
          <w:r>
            <w:rPr>
              <w:b/>
              <w:noProof/>
              <w:lang w:eastAsia="es-ES"/>
            </w:rPr>
            <w:drawing>
              <wp:inline distT="0" distB="0" distL="0" distR="0" wp14:anchorId="78E6983E" wp14:editId="416B6F65">
                <wp:extent cx="5394960" cy="6898640"/>
                <wp:effectExtent l="0" t="0" r="0" b="0"/>
                <wp:docPr id="3" name="Imagen 3" descr="C:\Users\miriam\Desktop\GRUPOS LEADER\ADEFO\MAPAS\envejaragon_tasaenvejade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riam\Desktop\GRUPOS LEADER\ADEFO\MAPAS\envejaragon_tasaenvejadef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6905136"/>
                        </a:xfrm>
                        <a:prstGeom prst="rect">
                          <a:avLst/>
                        </a:prstGeom>
                        <a:noFill/>
                        <a:ln>
                          <a:noFill/>
                        </a:ln>
                      </pic:spPr>
                    </pic:pic>
                  </a:graphicData>
                </a:graphic>
              </wp:inline>
            </w:drawing>
          </w:r>
        </w:p>
        <w:p w:rsidR="005C032F" w:rsidRDefault="00592215" w:rsidP="00DA6CCE">
          <w:pPr>
            <w:jc w:val="both"/>
          </w:pPr>
          <w:r>
            <w:rPr>
              <w:b/>
            </w:rPr>
            <w:tab/>
          </w:r>
          <w:r>
            <w:t xml:space="preserve">Los municipios </w:t>
          </w:r>
          <w:r w:rsidRPr="00592215">
            <w:t xml:space="preserve">que </w:t>
          </w:r>
          <w:r>
            <w:t xml:space="preserve">se representan en gris son aquellos de los que no hemos podido disponer de datos. </w:t>
          </w:r>
          <w:r w:rsidR="00924E6A">
            <w:t>En verde encontramos aquellos municipios que presentan un valor de envejecimiento inferior al del total aragonés, e</w:t>
          </w:r>
          <w:r w:rsidR="00AB3ED5">
            <w:t>n amarillo</w:t>
          </w:r>
          <w:r>
            <w:t xml:space="preserve"> vemos los valores que se asemejan a la media de Aragón y, en el último caso, los valores que se representan en diferentes </w:t>
          </w:r>
          <w:r>
            <w:lastRenderedPageBreak/>
            <w:t xml:space="preserve">tonalidades de rojo son aquellos </w:t>
          </w:r>
          <w:r w:rsidR="00AB3ED5">
            <w:t xml:space="preserve">que se encuentran por encima de la media. Con estas tonalidades hemos querido resaltar aquellos municipios que dentro de tasas altas de envejecimiento tienen valores </w:t>
          </w:r>
          <w:r w:rsidR="005C032F">
            <w:t>más</w:t>
          </w:r>
          <w:r w:rsidR="00AB3ED5">
            <w:t xml:space="preserve"> alarmantes y cuales todavía no tanto</w:t>
          </w:r>
          <w:r w:rsidR="005C032F">
            <w:t>.</w:t>
          </w:r>
          <w:r w:rsidR="00B30CAE">
            <w:t xml:space="preserve"> Luna, Asín y Puendeluna son los municipios que se encuentran en una situación más alarmante en cuanto a envejecimiento que el resto.</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p>
        <w:p w:rsidR="005C032F" w:rsidRDefault="001D4BF7" w:rsidP="00452FBF">
          <w:pPr>
            <w:jc w:val="center"/>
          </w:pPr>
          <w:r>
            <w:pict>
              <v:shape id="_x0000_i1028" type="#_x0000_t75" style="width:393.6pt;height:540.8pt">
                <v:imagedata r:id="rId40" o:title="envej_paro"/>
              </v:shape>
            </w:pict>
          </w:r>
        </w:p>
        <w:p w:rsidR="00592215" w:rsidRDefault="005C032F" w:rsidP="00DA6CCE">
          <w:pPr>
            <w:jc w:val="both"/>
          </w:pPr>
          <w:r>
            <w:lastRenderedPageBreak/>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p>
        <w:p w:rsidR="005C032F" w:rsidRDefault="005C032F" w:rsidP="00DA6CCE">
          <w:pPr>
            <w:jc w:val="both"/>
          </w:pPr>
          <w:r>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1D4BF7" w:rsidP="00452FBF">
          <w:pPr>
            <w:jc w:val="center"/>
          </w:pPr>
          <w:r>
            <w:pict>
              <v:shape id="_x0000_i1029" type="#_x0000_t75" style="width:404pt;height:461.6pt">
                <v:imagedata r:id="rId41" o:title="tasamasc_envej"/>
              </v:shape>
            </w:pict>
          </w:r>
        </w:p>
        <w:p w:rsidR="005C032F" w:rsidRDefault="005C032F" w:rsidP="00DA6CCE">
          <w:pPr>
            <w:jc w:val="both"/>
          </w:pPr>
          <w:r>
            <w:tab/>
            <w:t xml:space="preserve">Al representar los valores de las variables en el mapa vemos como prácticamente las tasas de masculinidad </w:t>
          </w:r>
          <w:r w:rsidR="009C4330">
            <w:t>son mayores en aquellos municipios donde la tasa de envejecimiento es alta por lo que podemos afirmar que en el Grupo de Acción Local ADEFO existe un claro envejecimiento de la población en gran parte de sus municipios que se relaciona con tasas altas de masculinización de esa población.</w:t>
          </w:r>
        </w:p>
        <w:p w:rsidR="005C032F" w:rsidRDefault="005C032F" w:rsidP="00DA6CCE">
          <w:pPr>
            <w:jc w:val="both"/>
          </w:pPr>
        </w:p>
        <w:p w:rsidR="005C032F" w:rsidRDefault="00A870E9" w:rsidP="00DA6CCE">
          <w:pPr>
            <w:ind w:firstLine="708"/>
            <w:jc w:val="both"/>
          </w:pPr>
          <w:r>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1D4BF7" w:rsidP="00DA6CCE">
          <w:pPr>
            <w:ind w:firstLine="708"/>
            <w:jc w:val="both"/>
          </w:pPr>
          <w:r>
            <w:rPr>
              <w:noProof/>
              <w:lang w:eastAsia="es-ES"/>
            </w:rPr>
            <w:pict>
              <v:shape id="_x0000_i1030" type="#_x0000_t75" style="width:424.8pt;height:600.8pt">
                <v:imagedata r:id="rId42" o:title="%aCTIVIDDASECONOMICAS"/>
              </v:shape>
            </w:pict>
          </w:r>
        </w:p>
        <w:p w:rsidR="00DA6CCE" w:rsidRDefault="00DA6CCE" w:rsidP="0089418C">
          <w:pPr>
            <w:ind w:firstLine="708"/>
            <w:jc w:val="both"/>
          </w:pPr>
          <w:r>
            <w:lastRenderedPageBreak/>
            <w:t xml:space="preserve">En este primer mapa vemos una clara diferenciación en función de las diferentes actividades económicas desarrolladas en los municipios que se engloban en el grupo ADECOBEL 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1D4BF7" w:rsidP="00DA6CCE">
          <w:pPr>
            <w:ind w:firstLine="284"/>
            <w:jc w:val="center"/>
          </w:pPr>
          <w:r>
            <w:pict>
              <v:shape id="_x0000_i1031" type="#_x0000_t75" style="width:384.8pt;height:488pt">
                <v:imagedata r:id="rId43" o:title="densidadpob_tasaparo"/>
              </v:shape>
            </w:pict>
          </w:r>
        </w:p>
        <w:p w:rsidR="00DA6CCE" w:rsidRPr="00592215" w:rsidRDefault="00B07BC3" w:rsidP="0089418C">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 xml:space="preserve">Como vemos en el mapa anterior la densidad sí que se trata de una variable que influye en la cantidad de paro en un determinado </w:t>
          </w:r>
          <w:r w:rsidR="00F6732C">
            <w:lastRenderedPageBreak/>
            <w:t>lugar. Lo cual hace lógicamente que, como podemos observar, sean aquellos municipios donde la densidad sea más baja los lugares donde la tasa de paro sea menor que en el resto.</w:t>
          </w:r>
          <w:r w:rsidR="00EB7E4E">
            <w:t xml:space="preserve"> </w:t>
          </w:r>
          <w:proofErr w:type="spellStart"/>
          <w:r w:rsidR="00F74E34">
            <w:t>Ejea</w:t>
          </w:r>
          <w:proofErr w:type="spellEnd"/>
          <w:r w:rsidR="00F74E34">
            <w:t xml:space="preserve"> de los caballeros</w:t>
          </w:r>
          <w:r w:rsidR="006A183E">
            <w:t xml:space="preserve"> (63,96%)</w:t>
          </w:r>
          <w:r w:rsidR="00F74E34">
            <w:t xml:space="preserve"> es el municipio</w:t>
          </w:r>
          <w:r w:rsidR="00EB7E4E">
            <w:t xml:space="preserve"> que </w:t>
          </w:r>
          <w:r w:rsidR="00F74E34">
            <w:t xml:space="preserve">mayor tasa de paro presenta </w:t>
          </w:r>
          <w:r w:rsidR="00EB7E4E">
            <w:t xml:space="preserve"> de todo el grupo AD</w:t>
          </w:r>
          <w:r w:rsidR="00F74E34">
            <w:t>EFO</w:t>
          </w:r>
          <w:r w:rsidR="00EB7E4E">
            <w:t xml:space="preserve">. </w:t>
          </w:r>
        </w:p>
        <w:p w:rsidR="005047FE" w:rsidRDefault="00DA6CCE" w:rsidP="00DA6CCE">
          <w:pPr>
            <w:ind w:firstLine="284"/>
            <w:jc w:val="both"/>
          </w:pPr>
          <w:r>
            <w:t>Pero, más allá de lo que sería conocer la tasa de paro total sobre la densidad de población en el grupo ADE</w:t>
          </w:r>
          <w:r w:rsidR="00FD2CA6">
            <w:t>FO</w:t>
          </w:r>
          <w:r>
            <w:t xml:space="preserve"> 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1D4BF7" w:rsidP="00452FBF">
      <w:pPr>
        <w:jc w:val="center"/>
      </w:pPr>
      <w:r>
        <w:pict>
          <v:shape id="_x0000_i1032" type="#_x0000_t75" style="width:5in;height:510.4pt">
            <v:imagedata r:id="rId44" o:title="DENSI_PAROHOMMUJ"/>
          </v:shape>
        </w:pict>
      </w:r>
    </w:p>
    <w:p w:rsidR="00452FBF" w:rsidRDefault="00452FBF" w:rsidP="00452FBF">
      <w:pPr>
        <w:jc w:val="both"/>
      </w:pPr>
      <w:r>
        <w:tab/>
        <w:t xml:space="preserve">En este caso vemos como al establecer la diferenciación en el paro de hombres y mujeres encontramos datos más significativos pues el total de paro solo nos da datos </w:t>
      </w:r>
      <w:r>
        <w:lastRenderedPageBreak/>
        <w:t xml:space="preserve">absolutos mientras que en este caso lo que observamos es que, prácticamente el total de municipios muestra un total de paro elevado </w:t>
      </w:r>
      <w:r w:rsidR="004722D5">
        <w:t xml:space="preserve">mayor en </w:t>
      </w:r>
      <w:r w:rsidR="008E5F23">
        <w:t>mujeres que en hombres</w:t>
      </w:r>
      <w:r w:rsidR="004722D5">
        <w:t xml:space="preserve">. A excepción </w:t>
      </w:r>
      <w:r w:rsidR="008E5F23">
        <w:t xml:space="preserve">de </w:t>
      </w:r>
      <w:proofErr w:type="spellStart"/>
      <w:r w:rsidR="008E5F23">
        <w:t>Biel</w:t>
      </w:r>
      <w:proofErr w:type="spellEnd"/>
      <w:r w:rsidR="008E5F23">
        <w:t xml:space="preserve">, </w:t>
      </w:r>
      <w:proofErr w:type="spellStart"/>
      <w:r w:rsidR="008E5F23">
        <w:t>Ejea</w:t>
      </w:r>
      <w:proofErr w:type="spellEnd"/>
      <w:r w:rsidR="008E5F23">
        <w:t xml:space="preserve"> de los caballeros, </w:t>
      </w:r>
      <w:proofErr w:type="spellStart"/>
      <w:r w:rsidR="008E5F23">
        <w:t>Erla</w:t>
      </w:r>
      <w:proofErr w:type="spellEnd"/>
      <w:r w:rsidR="008E5F23">
        <w:t xml:space="preserve">, </w:t>
      </w:r>
      <w:proofErr w:type="spellStart"/>
      <w:r w:rsidR="008E5F23">
        <w:t>Luesia</w:t>
      </w:r>
      <w:proofErr w:type="spellEnd"/>
      <w:r w:rsidR="008E5F23">
        <w:t xml:space="preserve">, </w:t>
      </w:r>
      <w:proofErr w:type="spellStart"/>
      <w:r w:rsidR="008E5F23">
        <w:t>Marracos</w:t>
      </w:r>
      <w:proofErr w:type="spellEnd"/>
      <w:r w:rsidR="008E5F23">
        <w:t xml:space="preserve">, Las </w:t>
      </w:r>
      <w:proofErr w:type="spellStart"/>
      <w:r w:rsidR="008E5F23">
        <w:t>pedrosas</w:t>
      </w:r>
      <w:proofErr w:type="spellEnd"/>
      <w:r w:rsidR="008E5F23">
        <w:t xml:space="preserve">, </w:t>
      </w:r>
      <w:proofErr w:type="spellStart"/>
      <w:r w:rsidR="008E5F23">
        <w:t>Sádaba</w:t>
      </w:r>
      <w:proofErr w:type="spellEnd"/>
      <w:r w:rsidR="008E5F23">
        <w:t xml:space="preserve">, Sierra de Luna, </w:t>
      </w:r>
      <w:proofErr w:type="spellStart"/>
      <w:r w:rsidR="008E5F23">
        <w:t>Sos</w:t>
      </w:r>
      <w:proofErr w:type="spellEnd"/>
      <w:r w:rsidR="008E5F23">
        <w:t xml:space="preserve"> del rey católico, </w:t>
      </w:r>
      <w:proofErr w:type="spellStart"/>
      <w:r w:rsidR="008E5F23">
        <w:t>Tauste</w:t>
      </w:r>
      <w:proofErr w:type="spellEnd"/>
      <w:r w:rsidR="008E5F23">
        <w:t xml:space="preserve"> y </w:t>
      </w:r>
      <w:proofErr w:type="spellStart"/>
      <w:r w:rsidR="008E5F23">
        <w:t>Uncastillo</w:t>
      </w:r>
      <w:proofErr w:type="spellEnd"/>
      <w:r w:rsidR="008E5F23">
        <w:t>.</w:t>
      </w:r>
    </w:p>
    <w:p w:rsidR="00A954F5" w:rsidRDefault="00A954F5" w:rsidP="00A954F5">
      <w:pPr>
        <w:ind w:firstLine="708"/>
        <w:jc w:val="both"/>
      </w:pPr>
      <w:r>
        <w:t xml:space="preserve">En cuanto a la tasa de feminidad respecto a la tasa de paro en mujeres, podemos ver como en el mapa apenas se aprecian áreas con tasas de paro elevadas en mujeres a excepción del caso de  </w:t>
      </w:r>
      <w:proofErr w:type="spellStart"/>
      <w:r w:rsidR="0020383E">
        <w:t>Ejea</w:t>
      </w:r>
      <w:proofErr w:type="spellEnd"/>
      <w:r w:rsidR="0020383E">
        <w:t xml:space="preserve">, </w:t>
      </w:r>
      <w:proofErr w:type="spellStart"/>
      <w:r w:rsidR="0020383E">
        <w:t>Tauste</w:t>
      </w:r>
      <w:proofErr w:type="spellEnd"/>
      <w:r w:rsidR="0020383E">
        <w:t xml:space="preserve">, </w:t>
      </w:r>
      <w:proofErr w:type="spellStart"/>
      <w:r w:rsidR="0020383E">
        <w:t>Sádaba</w:t>
      </w:r>
      <w:proofErr w:type="spellEnd"/>
      <w:r w:rsidR="0020383E">
        <w:t xml:space="preserve"> y Biota.</w:t>
      </w:r>
    </w:p>
    <w:p w:rsidR="00A954F5" w:rsidRDefault="001D4BF7" w:rsidP="00A954F5">
      <w:pPr>
        <w:jc w:val="center"/>
      </w:pPr>
      <w:r>
        <w:pict>
          <v:shape id="_x0000_i1033" type="#_x0000_t75" style="width:377.6pt;height:532pt">
            <v:imagedata r:id="rId45" o:title="tasafem_tasaparomuj"/>
          </v:shape>
        </w:pict>
      </w:r>
    </w:p>
    <w:p w:rsidR="00A954F5" w:rsidRDefault="00A954F5" w:rsidP="00A954F5">
      <w:pPr>
        <w:jc w:val="center"/>
      </w:pPr>
    </w:p>
    <w:p w:rsidR="00A954F5"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 xml:space="preserve">s es que, en su mayoría, las áreas donde la tasa de masculinidad es mayor presentan tasas de paro en hombres </w:t>
      </w:r>
      <w:r w:rsidR="003022EF">
        <w:t>menores mientras que, las áreas con tasas de masculinidad medias o bajas son las que presentan unas tasas de paro en hombres mayores.</w:t>
      </w:r>
      <w:r w:rsidR="00DB2C44">
        <w:t xml:space="preserve"> </w:t>
      </w:r>
      <w:r w:rsidR="003022EF">
        <w:t xml:space="preserve">Es el caso de </w:t>
      </w:r>
      <w:proofErr w:type="spellStart"/>
      <w:r w:rsidR="003022EF">
        <w:t>Ejea</w:t>
      </w:r>
      <w:proofErr w:type="spellEnd"/>
      <w:r w:rsidR="003022EF">
        <w:t xml:space="preserve"> de los caballeros, </w:t>
      </w:r>
      <w:proofErr w:type="spellStart"/>
      <w:r w:rsidR="003022EF">
        <w:t>Tauste</w:t>
      </w:r>
      <w:proofErr w:type="spellEnd"/>
      <w:r w:rsidR="003022EF">
        <w:t xml:space="preserve">, </w:t>
      </w:r>
      <w:proofErr w:type="spellStart"/>
      <w:r w:rsidR="003022EF">
        <w:t>Sádaba</w:t>
      </w:r>
      <w:proofErr w:type="spellEnd"/>
      <w:r w:rsidR="003022EF">
        <w:t xml:space="preserve"> y Biota.</w:t>
      </w:r>
    </w:p>
    <w:p w:rsidR="006958DB" w:rsidRDefault="001D4BF7" w:rsidP="007C3A15">
      <w:pPr>
        <w:jc w:val="center"/>
      </w:pPr>
      <w:r>
        <w:pict>
          <v:shape id="_x0000_i1034" type="#_x0000_t75" style="width:424.8pt;height:600.8pt">
            <v:imagedata r:id="rId46" o:title="tasamasc_tasaparohom"/>
          </v:shape>
        </w:pict>
      </w:r>
    </w:p>
    <w:p w:rsidR="0010130B" w:rsidRDefault="0010130B" w:rsidP="00591C12"/>
    <w:p w:rsidR="006E4407" w:rsidRDefault="0010130B" w:rsidP="00A744E6">
      <w:pPr>
        <w:ind w:firstLine="993"/>
        <w:jc w:val="both"/>
      </w:pPr>
      <w:r>
        <w:lastRenderedPageBreak/>
        <w:t>Otra última relación que nos resultó interesante a la hora de realizar el análisis sobre la tasa de paro en el grupo ADE</w:t>
      </w:r>
      <w:r w:rsidR="00F22982">
        <w:t>FO</w:t>
      </w:r>
      <w:r>
        <w:t xml:space="preserve"> fue la del paro total y la tasa de masculinidad</w:t>
      </w:r>
      <w:r w:rsidRPr="0010130B">
        <w:t xml:space="preserve"> </w:t>
      </w:r>
      <w:r w:rsidR="00A744E6">
        <w:t xml:space="preserve">de cada </w:t>
      </w:r>
      <w:r>
        <w:t xml:space="preserve">municipio. </w:t>
      </w:r>
    </w:p>
    <w:p w:rsidR="0010130B" w:rsidRDefault="001D4BF7" w:rsidP="00920468">
      <w:pPr>
        <w:ind w:firstLine="567"/>
        <w:jc w:val="both"/>
      </w:pPr>
      <w:r>
        <w:pict>
          <v:shape id="_x0000_i1035" type="#_x0000_t75" style="width:408.8pt;height:556.8pt">
            <v:imagedata r:id="rId47" o:title="tasamascu_tasaparo"/>
          </v:shape>
        </w:pict>
      </w:r>
    </w:p>
    <w:p w:rsidR="0010130B" w:rsidRDefault="0010130B" w:rsidP="0010130B">
      <w:pPr>
        <w:ind w:firstLine="708"/>
        <w:jc w:val="both"/>
      </w:pPr>
      <w:r>
        <w:t xml:space="preserve">Al relacionar estas variables observamos como las áreas con una tasa de masculinidad muy baja, baja o incluso media presentan tasas de paro </w:t>
      </w:r>
      <w:proofErr w:type="gramStart"/>
      <w:r>
        <w:t>mucho</w:t>
      </w:r>
      <w:proofErr w:type="gramEnd"/>
      <w:r>
        <w:t xml:space="preserve"> </w:t>
      </w:r>
      <w:r w:rsidR="00920468">
        <w:t>mayores</w:t>
      </w:r>
      <w:r>
        <w:t xml:space="preserve"> que las áreas donde l</w:t>
      </w:r>
      <w:r w:rsidR="00920468">
        <w:t>a tasa de masculinidad es mayor como ya ocurría anteriormente al relacionar las variables de tasa de masculinidad y tasa de paro en hombres.</w:t>
      </w:r>
    </w:p>
    <w:p w:rsidR="00F00975" w:rsidRDefault="00F00975" w:rsidP="00920468"/>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1D4BF7" w:rsidP="00920468">
      <w:pPr>
        <w:ind w:left="424" w:hanging="424"/>
        <w:jc w:val="both"/>
      </w:pPr>
      <w:r>
        <w:pict>
          <v:shape id="_x0000_i1036" type="#_x0000_t75" style="width:424.8pt;height:533.6pt">
            <v:imagedata r:id="rId48" o:title="ALTASSEGSOCIALHOMMUJ_2014SEPT"/>
          </v:shape>
        </w:pict>
      </w:r>
      <w:r w:rsidR="00920468">
        <w:t xml:space="preserve"> </w:t>
      </w:r>
    </w:p>
    <w:p w:rsidR="00677B14" w:rsidRDefault="004E34E8" w:rsidP="00920468">
      <w:pPr>
        <w:ind w:firstLine="424"/>
        <w:jc w:val="both"/>
      </w:pPr>
      <w:r>
        <w:t xml:space="preserve">Analizando el mapa vemos como </w:t>
      </w:r>
      <w:r w:rsidR="0069681C">
        <w:t xml:space="preserve">todos los municipios muestran </w:t>
      </w:r>
      <w:r w:rsidR="00920468">
        <w:t xml:space="preserve">una clara mayoría de altas a la </w:t>
      </w:r>
      <w:r w:rsidR="0069681C">
        <w:t>seguridad social durante el periodo de septiembre de 2014 en hombres respecto a mujeres.</w:t>
      </w:r>
    </w:p>
    <w:p w:rsidR="007C3A15" w:rsidRDefault="007C3A15" w:rsidP="00920468">
      <w:pPr>
        <w:jc w:val="both"/>
      </w:pP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3B2" w:rsidRDefault="006203B2" w:rsidP="005047FE">
      <w:pPr>
        <w:spacing w:after="0" w:line="240" w:lineRule="auto"/>
      </w:pPr>
      <w:r>
        <w:separator/>
      </w:r>
    </w:p>
  </w:endnote>
  <w:endnote w:type="continuationSeparator" w:id="0">
    <w:p w:rsidR="006203B2" w:rsidRDefault="006203B2"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1D4BF7" w:rsidRPr="001D4BF7">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9</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8"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29"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0"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1"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2"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1D4BF7" w:rsidRPr="001D4BF7">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9</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3B2" w:rsidRDefault="006203B2" w:rsidP="005047FE">
      <w:pPr>
        <w:spacing w:after="0" w:line="240" w:lineRule="auto"/>
      </w:pPr>
      <w:r>
        <w:separator/>
      </w:r>
    </w:p>
  </w:footnote>
  <w:footnote w:type="continuationSeparator" w:id="0">
    <w:p w:rsidR="006203B2" w:rsidRDefault="006203B2"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727BBB" w:rsidP="00CD1578">
              <w:pPr>
                <w:pStyle w:val="Encabezado"/>
                <w:jc w:val="center"/>
                <w:rPr>
                  <w:caps/>
                  <w:color w:val="FFFFFF" w:themeColor="background1"/>
                </w:rPr>
              </w:pPr>
              <w:r>
                <w:rPr>
                  <w:caps/>
                  <w:color w:val="FFFFFF" w:themeColor="background1"/>
                </w:rPr>
                <w:t>Caracterización territorial de Cinco Villas. Asociación para el Desarrollo y Fomento de las Cinco Villas (Adefo)</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722B"/>
    <w:rsid w:val="00045654"/>
    <w:rsid w:val="000507AF"/>
    <w:rsid w:val="000B4043"/>
    <w:rsid w:val="000E24E8"/>
    <w:rsid w:val="0010130B"/>
    <w:rsid w:val="00106908"/>
    <w:rsid w:val="00172F65"/>
    <w:rsid w:val="00183475"/>
    <w:rsid w:val="00187242"/>
    <w:rsid w:val="00195345"/>
    <w:rsid w:val="001D4BF7"/>
    <w:rsid w:val="0020383E"/>
    <w:rsid w:val="00213EFF"/>
    <w:rsid w:val="00226733"/>
    <w:rsid w:val="00247F9F"/>
    <w:rsid w:val="00266069"/>
    <w:rsid w:val="002748A7"/>
    <w:rsid w:val="002C3354"/>
    <w:rsid w:val="002E0141"/>
    <w:rsid w:val="002E3D44"/>
    <w:rsid w:val="003022EF"/>
    <w:rsid w:val="003431C8"/>
    <w:rsid w:val="00347641"/>
    <w:rsid w:val="003729DC"/>
    <w:rsid w:val="00384351"/>
    <w:rsid w:val="003A36B8"/>
    <w:rsid w:val="003B3FA0"/>
    <w:rsid w:val="003D4E91"/>
    <w:rsid w:val="003E04C5"/>
    <w:rsid w:val="004015F0"/>
    <w:rsid w:val="004105C6"/>
    <w:rsid w:val="00424122"/>
    <w:rsid w:val="00425194"/>
    <w:rsid w:val="00452FBF"/>
    <w:rsid w:val="00460D1F"/>
    <w:rsid w:val="004722D5"/>
    <w:rsid w:val="004E34E8"/>
    <w:rsid w:val="005047FE"/>
    <w:rsid w:val="00533C22"/>
    <w:rsid w:val="00545E51"/>
    <w:rsid w:val="005775D5"/>
    <w:rsid w:val="00591C12"/>
    <w:rsid w:val="00592215"/>
    <w:rsid w:val="005C032F"/>
    <w:rsid w:val="005E1E26"/>
    <w:rsid w:val="005F081D"/>
    <w:rsid w:val="005F110C"/>
    <w:rsid w:val="005F2FC9"/>
    <w:rsid w:val="006203B2"/>
    <w:rsid w:val="00625167"/>
    <w:rsid w:val="00625B78"/>
    <w:rsid w:val="0064196D"/>
    <w:rsid w:val="00660D14"/>
    <w:rsid w:val="006622A5"/>
    <w:rsid w:val="00677B14"/>
    <w:rsid w:val="006958DB"/>
    <w:rsid w:val="0069681C"/>
    <w:rsid w:val="006A183E"/>
    <w:rsid w:val="006D7F6B"/>
    <w:rsid w:val="006E4407"/>
    <w:rsid w:val="006F1599"/>
    <w:rsid w:val="006F2D85"/>
    <w:rsid w:val="00716F00"/>
    <w:rsid w:val="00727BBB"/>
    <w:rsid w:val="007344D7"/>
    <w:rsid w:val="00746BD5"/>
    <w:rsid w:val="0076505F"/>
    <w:rsid w:val="0077413A"/>
    <w:rsid w:val="007A3D6C"/>
    <w:rsid w:val="007C3A15"/>
    <w:rsid w:val="008222AC"/>
    <w:rsid w:val="0089418C"/>
    <w:rsid w:val="0089728B"/>
    <w:rsid w:val="008D4C33"/>
    <w:rsid w:val="008E143A"/>
    <w:rsid w:val="008E5F23"/>
    <w:rsid w:val="00906EF5"/>
    <w:rsid w:val="00920468"/>
    <w:rsid w:val="00924E6A"/>
    <w:rsid w:val="0092710E"/>
    <w:rsid w:val="00934ACD"/>
    <w:rsid w:val="00957C53"/>
    <w:rsid w:val="00963578"/>
    <w:rsid w:val="009655AC"/>
    <w:rsid w:val="009704C6"/>
    <w:rsid w:val="00974B32"/>
    <w:rsid w:val="009C4330"/>
    <w:rsid w:val="009D7D21"/>
    <w:rsid w:val="009F21D0"/>
    <w:rsid w:val="00A06A74"/>
    <w:rsid w:val="00A744E6"/>
    <w:rsid w:val="00A84D47"/>
    <w:rsid w:val="00A870E9"/>
    <w:rsid w:val="00A954F5"/>
    <w:rsid w:val="00AB3ED5"/>
    <w:rsid w:val="00AF4EE3"/>
    <w:rsid w:val="00AF7330"/>
    <w:rsid w:val="00B01298"/>
    <w:rsid w:val="00B07BC3"/>
    <w:rsid w:val="00B12E0D"/>
    <w:rsid w:val="00B26632"/>
    <w:rsid w:val="00B30CAE"/>
    <w:rsid w:val="00B32B00"/>
    <w:rsid w:val="00B46A00"/>
    <w:rsid w:val="00B50C23"/>
    <w:rsid w:val="00B56B75"/>
    <w:rsid w:val="00BC4612"/>
    <w:rsid w:val="00BE4020"/>
    <w:rsid w:val="00C22CED"/>
    <w:rsid w:val="00C434E8"/>
    <w:rsid w:val="00C47ACF"/>
    <w:rsid w:val="00C6493A"/>
    <w:rsid w:val="00C709A3"/>
    <w:rsid w:val="00C85969"/>
    <w:rsid w:val="00CD1578"/>
    <w:rsid w:val="00CF3C9C"/>
    <w:rsid w:val="00CF506D"/>
    <w:rsid w:val="00D139A2"/>
    <w:rsid w:val="00D16764"/>
    <w:rsid w:val="00D93422"/>
    <w:rsid w:val="00DA6CCE"/>
    <w:rsid w:val="00DB2C44"/>
    <w:rsid w:val="00DB3992"/>
    <w:rsid w:val="00DF3ECE"/>
    <w:rsid w:val="00E278F1"/>
    <w:rsid w:val="00E57B3A"/>
    <w:rsid w:val="00E66DCA"/>
    <w:rsid w:val="00E73376"/>
    <w:rsid w:val="00E7420F"/>
    <w:rsid w:val="00E87CD9"/>
    <w:rsid w:val="00EA5905"/>
    <w:rsid w:val="00EB7E4E"/>
    <w:rsid w:val="00EC5221"/>
    <w:rsid w:val="00EE4D4D"/>
    <w:rsid w:val="00EE76FE"/>
    <w:rsid w:val="00EF445D"/>
    <w:rsid w:val="00F00975"/>
    <w:rsid w:val="00F06D75"/>
    <w:rsid w:val="00F22982"/>
    <w:rsid w:val="00F34F01"/>
    <w:rsid w:val="00F36D27"/>
    <w:rsid w:val="00F54164"/>
    <w:rsid w:val="00F6732C"/>
    <w:rsid w:val="00F74E34"/>
    <w:rsid w:val="00F77914"/>
    <w:rsid w:val="00FA17CC"/>
    <w:rsid w:val="00FC644D"/>
    <w:rsid w:val="00FD2C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población (ADEFO)</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1.814553844235206E-2</c:v>
                </c:pt>
                <c:pt idx="1">
                  <c:v>2.1356862256032925E-2</c:v>
                </c:pt>
                <c:pt idx="2">
                  <c:v>2.0764482135062667E-2</c:v>
                </c:pt>
                <c:pt idx="3">
                  <c:v>2.1263328552721832E-2</c:v>
                </c:pt>
                <c:pt idx="4">
                  <c:v>2.4599363970817485E-2</c:v>
                </c:pt>
                <c:pt idx="5">
                  <c:v>2.6251792729313463E-2</c:v>
                </c:pt>
                <c:pt idx="6">
                  <c:v>3.1489680114734679E-2</c:v>
                </c:pt>
                <c:pt idx="7">
                  <c:v>3.264326245557149E-2</c:v>
                </c:pt>
                <c:pt idx="8">
                  <c:v>3.5106316642763612E-2</c:v>
                </c:pt>
                <c:pt idx="9">
                  <c:v>3.6509322192430006E-2</c:v>
                </c:pt>
                <c:pt idx="10">
                  <c:v>3.8722953170792544E-2</c:v>
                </c:pt>
                <c:pt idx="11">
                  <c:v>2.8964270125335163E-2</c:v>
                </c:pt>
                <c:pt idx="12">
                  <c:v>2.6532393839246743E-2</c:v>
                </c:pt>
                <c:pt idx="13">
                  <c:v>2.4973498784061857E-2</c:v>
                </c:pt>
                <c:pt idx="14">
                  <c:v>2.1450395959344018E-2</c:v>
                </c:pt>
                <c:pt idx="15">
                  <c:v>2.7187129762424395E-2</c:v>
                </c:pt>
                <c:pt idx="16">
                  <c:v>2.6033547421587578E-2</c:v>
                </c:pt>
                <c:pt idx="17">
                  <c:v>1.6368398079441293E-2</c:v>
                </c:pt>
                <c:pt idx="18">
                  <c:v>7.4515183637837504E-3</c:v>
                </c:pt>
                <c:pt idx="19">
                  <c:v>1.5277171540811873E-3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-2.004739040967762E-2</c:v>
                </c:pt>
                <c:pt idx="1">
                  <c:v>-2.0670948431751573E-2</c:v>
                </c:pt>
                <c:pt idx="2">
                  <c:v>-2.2136309783625366E-2</c:v>
                </c:pt>
                <c:pt idx="3">
                  <c:v>-2.0826837937270064E-2</c:v>
                </c:pt>
                <c:pt idx="4">
                  <c:v>-2.5004676685165556E-2</c:v>
                </c:pt>
                <c:pt idx="5">
                  <c:v>-2.9026625927542557E-2</c:v>
                </c:pt>
                <c:pt idx="6">
                  <c:v>-3.579223046704496E-2</c:v>
                </c:pt>
                <c:pt idx="7">
                  <c:v>-4.171603167674752E-2</c:v>
                </c:pt>
                <c:pt idx="8">
                  <c:v>-4.3212570929725011E-2</c:v>
                </c:pt>
                <c:pt idx="9">
                  <c:v>-4.548855771029494E-2</c:v>
                </c:pt>
                <c:pt idx="10">
                  <c:v>-4.3399638336347197E-2</c:v>
                </c:pt>
                <c:pt idx="11">
                  <c:v>-3.4919249236141425E-2</c:v>
                </c:pt>
                <c:pt idx="12">
                  <c:v>-2.9712539751823908E-2</c:v>
                </c:pt>
                <c:pt idx="13">
                  <c:v>-2.6127081124898671E-2</c:v>
                </c:pt>
                <c:pt idx="14">
                  <c:v>-2.0296813618507201E-2</c:v>
                </c:pt>
                <c:pt idx="15">
                  <c:v>-2.0889193739477459E-2</c:v>
                </c:pt>
                <c:pt idx="16">
                  <c:v>-1.8800274365529713E-2</c:v>
                </c:pt>
                <c:pt idx="17">
                  <c:v>-1.0538130573049823E-2</c:v>
                </c:pt>
                <c:pt idx="18">
                  <c:v>-3.429569121406747E-3</c:v>
                </c:pt>
                <c:pt idx="19">
                  <c:v>-6.2355802207395396E-4</c:v>
                </c:pt>
              </c:numCache>
            </c:numRef>
          </c:val>
        </c:ser>
        <c:dLbls>
          <c:showLegendKey val="0"/>
          <c:showVal val="0"/>
          <c:showCatName val="0"/>
          <c:showSerName val="0"/>
          <c:showPercent val="0"/>
          <c:showBubbleSize val="0"/>
        </c:dLbls>
        <c:gapWidth val="150"/>
        <c:axId val="112309248"/>
        <c:axId val="90319680"/>
      </c:barChart>
      <c:catAx>
        <c:axId val="112309248"/>
        <c:scaling>
          <c:orientation val="minMax"/>
        </c:scaling>
        <c:delete val="0"/>
        <c:axPos val="l"/>
        <c:majorTickMark val="out"/>
        <c:minorTickMark val="none"/>
        <c:tickLblPos val="low"/>
        <c:crossAx val="90319680"/>
        <c:crosses val="autoZero"/>
        <c:auto val="1"/>
        <c:lblAlgn val="ctr"/>
        <c:lblOffset val="100"/>
        <c:noMultiLvlLbl val="0"/>
      </c:catAx>
      <c:valAx>
        <c:axId val="90319680"/>
        <c:scaling>
          <c:orientation val="minMax"/>
        </c:scaling>
        <c:delete val="1"/>
        <c:axPos val="b"/>
        <c:majorGridlines/>
        <c:numFmt formatCode="General" sourceLinked="1"/>
        <c:majorTickMark val="out"/>
        <c:minorTickMark val="none"/>
        <c:tickLblPos val="nextTo"/>
        <c:crossAx val="11230924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ADEFO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8.3163957105886227E-2"/>
          <c:y val="0.14548856520921233"/>
          <c:w val="0.89716821072628161"/>
          <c:h val="0.60811117680255833"/>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SEP'!$A$9:$A$22</c:f>
              <c:strCache>
                <c:ptCount val="13"/>
                <c:pt idx="0">
                  <c:v>16-19</c:v>
                </c:pt>
                <c:pt idx="1">
                  <c:v>20-24</c:v>
                </c:pt>
                <c:pt idx="2">
                  <c:v>25-29</c:v>
                </c:pt>
                <c:pt idx="3">
                  <c:v>30-34</c:v>
                </c:pt>
                <c:pt idx="4">
                  <c:v>35-39</c:v>
                </c:pt>
                <c:pt idx="5">
                  <c:v>40-44</c:v>
                </c:pt>
                <c:pt idx="6">
                  <c:v>45-49</c:v>
                </c:pt>
                <c:pt idx="7">
                  <c:v>50-54</c:v>
                </c:pt>
                <c:pt idx="8">
                  <c:v>55-59</c:v>
                </c:pt>
                <c:pt idx="9">
                  <c:v>60-64</c:v>
                </c:pt>
                <c:pt idx="10">
                  <c:v>65-69</c:v>
                </c:pt>
                <c:pt idx="11">
                  <c:v>Más de 69</c:v>
                </c:pt>
                <c:pt idx="12">
                  <c:v>Sin clasificar</c:v>
                </c:pt>
              </c:strCache>
            </c:strRef>
          </c:cat>
          <c:val>
            <c:numRef>
              <c:f>'afiliaciones tramos y grupo SEP'!$B$9:$B$22</c:f>
              <c:numCache>
                <c:formatCode>General</c:formatCode>
                <c:ptCount val="13"/>
                <c:pt idx="0">
                  <c:v>34</c:v>
                </c:pt>
                <c:pt idx="1">
                  <c:v>254</c:v>
                </c:pt>
                <c:pt idx="2">
                  <c:v>533</c:v>
                </c:pt>
                <c:pt idx="3">
                  <c:v>717</c:v>
                </c:pt>
                <c:pt idx="4">
                  <c:v>953</c:v>
                </c:pt>
                <c:pt idx="5">
                  <c:v>943</c:v>
                </c:pt>
                <c:pt idx="6">
                  <c:v>1009</c:v>
                </c:pt>
                <c:pt idx="7">
                  <c:v>982</c:v>
                </c:pt>
                <c:pt idx="8">
                  <c:v>712</c:v>
                </c:pt>
                <c:pt idx="9">
                  <c:v>475</c:v>
                </c:pt>
                <c:pt idx="10">
                  <c:v>47</c:v>
                </c:pt>
                <c:pt idx="11">
                  <c:v>16</c:v>
                </c:pt>
              </c:numCache>
            </c:numRef>
          </c:val>
        </c:ser>
        <c:ser>
          <c:idx val="1"/>
          <c:order val="1"/>
          <c:tx>
            <c:strRef>
              <c:f>'afiliaciones tramos y grupo SEP'!$C$7:$C$8</c:f>
              <c:strCache>
                <c:ptCount val="1"/>
                <c:pt idx="0">
                  <c:v>Suma de Mujeres</c:v>
                </c:pt>
              </c:strCache>
            </c:strRef>
          </c:tx>
          <c:invertIfNegative val="0"/>
          <c:cat>
            <c:strRef>
              <c:f>'afiliaciones tramos y grupo SEP'!$A$9:$A$22</c:f>
              <c:strCache>
                <c:ptCount val="13"/>
                <c:pt idx="0">
                  <c:v>16-19</c:v>
                </c:pt>
                <c:pt idx="1">
                  <c:v>20-24</c:v>
                </c:pt>
                <c:pt idx="2">
                  <c:v>25-29</c:v>
                </c:pt>
                <c:pt idx="3">
                  <c:v>30-34</c:v>
                </c:pt>
                <c:pt idx="4">
                  <c:v>35-39</c:v>
                </c:pt>
                <c:pt idx="5">
                  <c:v>40-44</c:v>
                </c:pt>
                <c:pt idx="6">
                  <c:v>45-49</c:v>
                </c:pt>
                <c:pt idx="7">
                  <c:v>50-54</c:v>
                </c:pt>
                <c:pt idx="8">
                  <c:v>55-59</c:v>
                </c:pt>
                <c:pt idx="9">
                  <c:v>60-64</c:v>
                </c:pt>
                <c:pt idx="10">
                  <c:v>65-69</c:v>
                </c:pt>
                <c:pt idx="11">
                  <c:v>Más de 69</c:v>
                </c:pt>
                <c:pt idx="12">
                  <c:v>Sin clasificar</c:v>
                </c:pt>
              </c:strCache>
            </c:strRef>
          </c:cat>
          <c:val>
            <c:numRef>
              <c:f>'afiliaciones tramos y grupo SEP'!$C$9:$C$22</c:f>
              <c:numCache>
                <c:formatCode>General</c:formatCode>
                <c:ptCount val="13"/>
                <c:pt idx="0">
                  <c:v>14</c:v>
                </c:pt>
                <c:pt idx="1">
                  <c:v>146</c:v>
                </c:pt>
                <c:pt idx="2">
                  <c:v>326</c:v>
                </c:pt>
                <c:pt idx="3">
                  <c:v>471</c:v>
                </c:pt>
                <c:pt idx="4">
                  <c:v>622</c:v>
                </c:pt>
                <c:pt idx="5">
                  <c:v>628</c:v>
                </c:pt>
                <c:pt idx="6">
                  <c:v>617</c:v>
                </c:pt>
                <c:pt idx="7">
                  <c:v>559</c:v>
                </c:pt>
                <c:pt idx="8">
                  <c:v>443</c:v>
                </c:pt>
                <c:pt idx="9">
                  <c:v>216</c:v>
                </c:pt>
                <c:pt idx="10">
                  <c:v>31</c:v>
                </c:pt>
                <c:pt idx="11">
                  <c:v>7</c:v>
                </c:pt>
                <c:pt idx="12">
                  <c:v>1</c:v>
                </c:pt>
              </c:numCache>
            </c:numRef>
          </c:val>
        </c:ser>
        <c:ser>
          <c:idx val="2"/>
          <c:order val="2"/>
          <c:tx>
            <c:strRef>
              <c:f>'afiliaciones tramos y grupo SEP'!$D$7:$D$8</c:f>
              <c:strCache>
                <c:ptCount val="1"/>
                <c:pt idx="0">
                  <c:v>Suma de total</c:v>
                </c:pt>
              </c:strCache>
            </c:strRef>
          </c:tx>
          <c:invertIfNegative val="0"/>
          <c:cat>
            <c:strRef>
              <c:f>'afiliaciones tramos y grupo SEP'!$A$9:$A$22</c:f>
              <c:strCache>
                <c:ptCount val="13"/>
                <c:pt idx="0">
                  <c:v>16-19</c:v>
                </c:pt>
                <c:pt idx="1">
                  <c:v>20-24</c:v>
                </c:pt>
                <c:pt idx="2">
                  <c:v>25-29</c:v>
                </c:pt>
                <c:pt idx="3">
                  <c:v>30-34</c:v>
                </c:pt>
                <c:pt idx="4">
                  <c:v>35-39</c:v>
                </c:pt>
                <c:pt idx="5">
                  <c:v>40-44</c:v>
                </c:pt>
                <c:pt idx="6">
                  <c:v>45-49</c:v>
                </c:pt>
                <c:pt idx="7">
                  <c:v>50-54</c:v>
                </c:pt>
                <c:pt idx="8">
                  <c:v>55-59</c:v>
                </c:pt>
                <c:pt idx="9">
                  <c:v>60-64</c:v>
                </c:pt>
                <c:pt idx="10">
                  <c:v>65-69</c:v>
                </c:pt>
                <c:pt idx="11">
                  <c:v>Más de 69</c:v>
                </c:pt>
                <c:pt idx="12">
                  <c:v>Sin clasificar</c:v>
                </c:pt>
              </c:strCache>
            </c:strRef>
          </c:cat>
          <c:val>
            <c:numRef>
              <c:f>'afiliaciones tramos y grupo SEP'!$D$9:$D$22</c:f>
              <c:numCache>
                <c:formatCode>General</c:formatCode>
                <c:ptCount val="13"/>
                <c:pt idx="0">
                  <c:v>48</c:v>
                </c:pt>
                <c:pt idx="1">
                  <c:v>400</c:v>
                </c:pt>
                <c:pt idx="2">
                  <c:v>859</c:v>
                </c:pt>
                <c:pt idx="3">
                  <c:v>1188</c:v>
                </c:pt>
                <c:pt idx="4">
                  <c:v>1575</c:v>
                </c:pt>
                <c:pt idx="5">
                  <c:v>1571</c:v>
                </c:pt>
                <c:pt idx="6">
                  <c:v>1626</c:v>
                </c:pt>
                <c:pt idx="7">
                  <c:v>1541</c:v>
                </c:pt>
                <c:pt idx="8">
                  <c:v>1155</c:v>
                </c:pt>
                <c:pt idx="9">
                  <c:v>691</c:v>
                </c:pt>
                <c:pt idx="10">
                  <c:v>78</c:v>
                </c:pt>
                <c:pt idx="11">
                  <c:v>23</c:v>
                </c:pt>
                <c:pt idx="12">
                  <c:v>1</c:v>
                </c:pt>
              </c:numCache>
            </c:numRef>
          </c:val>
        </c:ser>
        <c:dLbls>
          <c:showLegendKey val="0"/>
          <c:showVal val="0"/>
          <c:showCatName val="0"/>
          <c:showSerName val="0"/>
          <c:showPercent val="0"/>
          <c:showBubbleSize val="0"/>
        </c:dLbls>
        <c:gapWidth val="150"/>
        <c:axId val="112308224"/>
        <c:axId val="112989824"/>
      </c:barChart>
      <c:catAx>
        <c:axId val="112308224"/>
        <c:scaling>
          <c:orientation val="minMax"/>
        </c:scaling>
        <c:delete val="0"/>
        <c:axPos val="b"/>
        <c:majorTickMark val="out"/>
        <c:minorTickMark val="none"/>
        <c:tickLblPos val="nextTo"/>
        <c:crossAx val="112989824"/>
        <c:crosses val="autoZero"/>
        <c:auto val="1"/>
        <c:lblAlgn val="ctr"/>
        <c:lblOffset val="100"/>
        <c:noMultiLvlLbl val="0"/>
      </c:catAx>
      <c:valAx>
        <c:axId val="112989824"/>
        <c:scaling>
          <c:orientation val="minMax"/>
        </c:scaling>
        <c:delete val="0"/>
        <c:axPos val="l"/>
        <c:majorGridlines/>
        <c:numFmt formatCode="General" sourceLinked="1"/>
        <c:majorTickMark val="out"/>
        <c:minorTickMark val="none"/>
        <c:tickLblPos val="nextTo"/>
        <c:crossAx val="11230822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ADEFO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7.9314697713299534E-2"/>
          <c:y val="0.12045744902748082"/>
          <c:w val="0.89928119269765938"/>
          <c:h val="0.62565345205193723"/>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49</c:v>
                </c:pt>
                <c:pt idx="1">
                  <c:v>284</c:v>
                </c:pt>
                <c:pt idx="2">
                  <c:v>534</c:v>
                </c:pt>
                <c:pt idx="3">
                  <c:v>734</c:v>
                </c:pt>
                <c:pt idx="4">
                  <c:v>951</c:v>
                </c:pt>
                <c:pt idx="5">
                  <c:v>944</c:v>
                </c:pt>
                <c:pt idx="6">
                  <c:v>997</c:v>
                </c:pt>
                <c:pt idx="7">
                  <c:v>984</c:v>
                </c:pt>
                <c:pt idx="8">
                  <c:v>717</c:v>
                </c:pt>
                <c:pt idx="9">
                  <c:v>460</c:v>
                </c:pt>
                <c:pt idx="10">
                  <c:v>53</c:v>
                </c:pt>
                <c:pt idx="11">
                  <c:v>15</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13</c:v>
                </c:pt>
                <c:pt idx="1">
                  <c:v>158</c:v>
                </c:pt>
                <c:pt idx="2">
                  <c:v>336</c:v>
                </c:pt>
                <c:pt idx="3">
                  <c:v>471</c:v>
                </c:pt>
                <c:pt idx="4">
                  <c:v>629</c:v>
                </c:pt>
                <c:pt idx="5">
                  <c:v>613</c:v>
                </c:pt>
                <c:pt idx="6">
                  <c:v>603</c:v>
                </c:pt>
                <c:pt idx="7">
                  <c:v>564</c:v>
                </c:pt>
                <c:pt idx="8">
                  <c:v>417</c:v>
                </c:pt>
                <c:pt idx="9">
                  <c:v>214</c:v>
                </c:pt>
                <c:pt idx="10">
                  <c:v>29</c:v>
                </c:pt>
                <c:pt idx="11">
                  <c:v>11</c:v>
                </c:pt>
              </c:numCache>
            </c:numRef>
          </c:val>
        </c:ser>
        <c:dLbls>
          <c:showLegendKey val="0"/>
          <c:showVal val="0"/>
          <c:showCatName val="0"/>
          <c:showSerName val="0"/>
          <c:showPercent val="0"/>
          <c:showBubbleSize val="0"/>
        </c:dLbls>
        <c:gapWidth val="150"/>
        <c:axId val="112975360"/>
        <c:axId val="112991552"/>
      </c:barChart>
      <c:catAx>
        <c:axId val="112975360"/>
        <c:scaling>
          <c:orientation val="minMax"/>
        </c:scaling>
        <c:delete val="0"/>
        <c:axPos val="b"/>
        <c:majorTickMark val="out"/>
        <c:minorTickMark val="none"/>
        <c:tickLblPos val="nextTo"/>
        <c:crossAx val="112991552"/>
        <c:crosses val="autoZero"/>
        <c:auto val="1"/>
        <c:lblAlgn val="ctr"/>
        <c:lblOffset val="100"/>
        <c:noMultiLvlLbl val="0"/>
      </c:catAx>
      <c:valAx>
        <c:axId val="112991552"/>
        <c:scaling>
          <c:orientation val="minMax"/>
        </c:scaling>
        <c:delete val="0"/>
        <c:axPos val="l"/>
        <c:majorGridlines/>
        <c:numFmt formatCode="General" sourceLinked="1"/>
        <c:majorTickMark val="out"/>
        <c:minorTickMark val="none"/>
        <c:tickLblPos val="nextTo"/>
        <c:crossAx val="11297536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SEP!Tabla dinámica2</c:name>
    <c:fmtId val="-1"/>
  </c:pivotSource>
  <c:chart>
    <c:title>
      <c:tx>
        <c:rich>
          <a:bodyPr/>
          <a:lstStyle/>
          <a:p>
            <a:pPr>
              <a:defRPr sz="1400"/>
            </a:pPr>
            <a:r>
              <a:rPr lang="es-ES" sz="1400"/>
              <a:t>Altas</a:t>
            </a:r>
            <a:r>
              <a:rPr lang="es-ES" sz="1400" baseline="0"/>
              <a:t> por sector y grupo de actividad</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4548778922859752E-2"/>
          <c:y val="0.1199942889083309"/>
          <c:w val="0.87558722764297447"/>
          <c:h val="0.55489331194711777"/>
        </c:manualLayout>
      </c:layout>
      <c:bar3DChart>
        <c:barDir val="col"/>
        <c:grouping val="clustered"/>
        <c:varyColors val="0"/>
        <c:ser>
          <c:idx val="0"/>
          <c:order val="0"/>
          <c:tx>
            <c:strRef>
              <c:f>'Tabla régimen-actividad SEP'!$B$7:$B$8</c:f>
              <c:strCache>
                <c:ptCount val="1"/>
                <c:pt idx="0">
                  <c:v>Suma de Agricultura, ganadería y pesca</c:v>
                </c:pt>
              </c:strCache>
            </c:strRef>
          </c:tx>
          <c:invertIfNegative val="0"/>
          <c:cat>
            <c:multiLvlStrRef>
              <c:f>'Tabla régimen-actividad SEP'!$A$9:$A$12</c:f>
              <c:multiLvlStrCache>
                <c:ptCount val="2"/>
                <c:lvl>
                  <c:pt idx="0">
                    <c:v>Autónomos</c:v>
                  </c:pt>
                  <c:pt idx="1">
                    <c:v>General</c:v>
                  </c:pt>
                </c:lvl>
                <c:lvl>
                  <c:pt idx="0">
                    <c:v>ADEFO</c:v>
                  </c:pt>
                </c:lvl>
              </c:multiLvlStrCache>
            </c:multiLvlStrRef>
          </c:cat>
          <c:val>
            <c:numRef>
              <c:f>'Tabla régimen-actividad SEP'!$B$9:$B$12</c:f>
              <c:numCache>
                <c:formatCode>General</c:formatCode>
                <c:ptCount val="2"/>
                <c:pt idx="0">
                  <c:v>1555</c:v>
                </c:pt>
                <c:pt idx="1">
                  <c:v>1330</c:v>
                </c:pt>
              </c:numCache>
            </c:numRef>
          </c:val>
        </c:ser>
        <c:ser>
          <c:idx val="1"/>
          <c:order val="1"/>
          <c:tx>
            <c:strRef>
              <c:f>'Tabla régimen-actividad SEP'!$C$7:$C$8</c:f>
              <c:strCache>
                <c:ptCount val="1"/>
                <c:pt idx="0">
                  <c:v>Suma de Industria y energía</c:v>
                </c:pt>
              </c:strCache>
            </c:strRef>
          </c:tx>
          <c:invertIfNegative val="0"/>
          <c:cat>
            <c:multiLvlStrRef>
              <c:f>'Tabla régimen-actividad SEP'!$A$9:$A$12</c:f>
              <c:multiLvlStrCache>
                <c:ptCount val="2"/>
                <c:lvl>
                  <c:pt idx="0">
                    <c:v>Autónomos</c:v>
                  </c:pt>
                  <c:pt idx="1">
                    <c:v>General</c:v>
                  </c:pt>
                </c:lvl>
                <c:lvl>
                  <c:pt idx="0">
                    <c:v>ADEFO</c:v>
                  </c:pt>
                </c:lvl>
              </c:multiLvlStrCache>
            </c:multiLvlStrRef>
          </c:cat>
          <c:val>
            <c:numRef>
              <c:f>'Tabla régimen-actividad SEP'!$C$9:$C$12</c:f>
              <c:numCache>
                <c:formatCode>General</c:formatCode>
                <c:ptCount val="2"/>
                <c:pt idx="0">
                  <c:v>355</c:v>
                </c:pt>
                <c:pt idx="1">
                  <c:v>1942</c:v>
                </c:pt>
              </c:numCache>
            </c:numRef>
          </c:val>
        </c:ser>
        <c:ser>
          <c:idx val="2"/>
          <c:order val="2"/>
          <c:tx>
            <c:strRef>
              <c:f>'Tabla régimen-actividad SEP'!$D$7:$D$8</c:f>
              <c:strCache>
                <c:ptCount val="1"/>
                <c:pt idx="0">
                  <c:v>Suma de Construcción</c:v>
                </c:pt>
              </c:strCache>
            </c:strRef>
          </c:tx>
          <c:invertIfNegative val="0"/>
          <c:cat>
            <c:multiLvlStrRef>
              <c:f>'Tabla régimen-actividad SEP'!$A$9:$A$12</c:f>
              <c:multiLvlStrCache>
                <c:ptCount val="2"/>
                <c:lvl>
                  <c:pt idx="0">
                    <c:v>Autónomos</c:v>
                  </c:pt>
                  <c:pt idx="1">
                    <c:v>General</c:v>
                  </c:pt>
                </c:lvl>
                <c:lvl>
                  <c:pt idx="0">
                    <c:v>ADEFO</c:v>
                  </c:pt>
                </c:lvl>
              </c:multiLvlStrCache>
            </c:multiLvlStrRef>
          </c:cat>
          <c:val>
            <c:numRef>
              <c:f>'Tabla régimen-actividad SEP'!$D$9:$D$12</c:f>
              <c:numCache>
                <c:formatCode>General</c:formatCode>
                <c:ptCount val="2"/>
                <c:pt idx="0">
                  <c:v>393</c:v>
                </c:pt>
                <c:pt idx="1">
                  <c:v>431</c:v>
                </c:pt>
              </c:numCache>
            </c:numRef>
          </c:val>
        </c:ser>
        <c:ser>
          <c:idx val="3"/>
          <c:order val="3"/>
          <c:tx>
            <c:strRef>
              <c:f>'Tabla régimen-actividad SEP'!$E$7:$E$8</c:f>
              <c:strCache>
                <c:ptCount val="1"/>
                <c:pt idx="0">
                  <c:v>Suma de Servicios</c:v>
                </c:pt>
              </c:strCache>
            </c:strRef>
          </c:tx>
          <c:invertIfNegative val="0"/>
          <c:cat>
            <c:multiLvlStrRef>
              <c:f>'Tabla régimen-actividad SEP'!$A$9:$A$12</c:f>
              <c:multiLvlStrCache>
                <c:ptCount val="2"/>
                <c:lvl>
                  <c:pt idx="0">
                    <c:v>Autónomos</c:v>
                  </c:pt>
                  <c:pt idx="1">
                    <c:v>General</c:v>
                  </c:pt>
                </c:lvl>
                <c:lvl>
                  <c:pt idx="0">
                    <c:v>ADEFO</c:v>
                  </c:pt>
                </c:lvl>
              </c:multiLvlStrCache>
            </c:multiLvlStrRef>
          </c:cat>
          <c:val>
            <c:numRef>
              <c:f>'Tabla régimen-actividad SEP'!$E$9:$E$12</c:f>
              <c:numCache>
                <c:formatCode>General</c:formatCode>
                <c:ptCount val="2"/>
                <c:pt idx="0">
                  <c:v>1407</c:v>
                </c:pt>
                <c:pt idx="1">
                  <c:v>3343</c:v>
                </c:pt>
              </c:numCache>
            </c:numRef>
          </c:val>
        </c:ser>
        <c:dLbls>
          <c:showLegendKey val="0"/>
          <c:showVal val="0"/>
          <c:showCatName val="0"/>
          <c:showSerName val="0"/>
          <c:showPercent val="0"/>
          <c:showBubbleSize val="0"/>
        </c:dLbls>
        <c:gapWidth val="150"/>
        <c:shape val="box"/>
        <c:axId val="112973824"/>
        <c:axId val="113304704"/>
        <c:axId val="0"/>
      </c:bar3DChart>
      <c:catAx>
        <c:axId val="112973824"/>
        <c:scaling>
          <c:orientation val="minMax"/>
        </c:scaling>
        <c:delete val="0"/>
        <c:axPos val="b"/>
        <c:majorTickMark val="out"/>
        <c:minorTickMark val="none"/>
        <c:tickLblPos val="nextTo"/>
        <c:crossAx val="113304704"/>
        <c:crosses val="autoZero"/>
        <c:auto val="1"/>
        <c:lblAlgn val="ctr"/>
        <c:lblOffset val="100"/>
        <c:noMultiLvlLbl val="0"/>
      </c:catAx>
      <c:valAx>
        <c:axId val="113304704"/>
        <c:scaling>
          <c:orientation val="minMax"/>
        </c:scaling>
        <c:delete val="0"/>
        <c:axPos val="l"/>
        <c:majorGridlines/>
        <c:numFmt formatCode="General" sourceLinked="1"/>
        <c:majorTickMark val="out"/>
        <c:minorTickMark val="none"/>
        <c:tickLblPos val="nextTo"/>
        <c:crossAx val="11297382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7067262151441602E-2"/>
          <c:y val="0.14314243705647905"/>
          <c:w val="0.88943649724705465"/>
          <c:h val="0.62569854199810704"/>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ADEFO</c:v>
                  </c:pt>
                </c:lvl>
              </c:multiLvlStrCache>
            </c:multiLvlStrRef>
          </c:cat>
          <c:val>
            <c:numRef>
              <c:f>'Gráfico altas régimen y sexo'!$C$9:$C$12</c:f>
              <c:numCache>
                <c:formatCode>General</c:formatCode>
                <c:ptCount val="2"/>
                <c:pt idx="0">
                  <c:v>3710</c:v>
                </c:pt>
                <c:pt idx="1">
                  <c:v>7046</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ADEFO</c:v>
                  </c:pt>
                </c:lvl>
              </c:multiLvlStrCache>
            </c:multiLvlStrRef>
          </c:cat>
          <c:val>
            <c:numRef>
              <c:f>'Gráfico altas régimen y sexo'!$D$9:$D$12</c:f>
              <c:numCache>
                <c:formatCode>General</c:formatCode>
                <c:ptCount val="2"/>
                <c:pt idx="0">
                  <c:v>2571</c:v>
                </c:pt>
                <c:pt idx="1">
                  <c:v>4104</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ADEFO</c:v>
                  </c:pt>
                </c:lvl>
              </c:multiLvlStrCache>
            </c:multiLvlStrRef>
          </c:cat>
          <c:val>
            <c:numRef>
              <c:f>'Gráfico altas régimen y sexo'!$E$9:$E$12</c:f>
              <c:numCache>
                <c:formatCode>General</c:formatCode>
                <c:ptCount val="2"/>
                <c:pt idx="0">
                  <c:v>1139</c:v>
                </c:pt>
                <c:pt idx="1">
                  <c:v>2942</c:v>
                </c:pt>
              </c:numCache>
            </c:numRef>
          </c:val>
        </c:ser>
        <c:dLbls>
          <c:showLegendKey val="0"/>
          <c:showVal val="0"/>
          <c:showCatName val="0"/>
          <c:showSerName val="0"/>
          <c:showPercent val="0"/>
          <c:showBubbleSize val="0"/>
        </c:dLbls>
        <c:gapWidth val="150"/>
        <c:shape val="box"/>
        <c:axId val="113453568"/>
        <c:axId val="113306432"/>
        <c:axId val="0"/>
      </c:bar3DChart>
      <c:catAx>
        <c:axId val="113453568"/>
        <c:scaling>
          <c:orientation val="minMax"/>
        </c:scaling>
        <c:delete val="0"/>
        <c:axPos val="b"/>
        <c:majorTickMark val="out"/>
        <c:minorTickMark val="none"/>
        <c:tickLblPos val="nextTo"/>
        <c:crossAx val="113306432"/>
        <c:crosses val="autoZero"/>
        <c:auto val="1"/>
        <c:lblAlgn val="ctr"/>
        <c:lblOffset val="100"/>
        <c:noMultiLvlLbl val="0"/>
      </c:catAx>
      <c:valAx>
        <c:axId val="113306432"/>
        <c:scaling>
          <c:orientation val="minMax"/>
        </c:scaling>
        <c:delete val="0"/>
        <c:axPos val="l"/>
        <c:majorGridlines/>
        <c:numFmt formatCode="General" sourceLinked="1"/>
        <c:majorTickMark val="out"/>
        <c:minorTickMark val="none"/>
        <c:tickLblPos val="nextTo"/>
        <c:crossAx val="113453568"/>
        <c:crosses val="autoZero"/>
        <c:crossBetween val="between"/>
      </c:valAx>
    </c:plotArea>
    <c:legend>
      <c:legendPos val="b"/>
      <c:layout>
        <c:manualLayout>
          <c:xMode val="edge"/>
          <c:yMode val="edge"/>
          <c:x val="0.16864615817660608"/>
          <c:y val="0.87466066741657289"/>
          <c:w val="0.66270749846297439"/>
          <c:h val="0.12533932390395644"/>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a:pPr>
            <a:r>
              <a:rPr lang="en-US"/>
              <a:t>ADEFO</a:t>
            </a:r>
          </a:p>
        </c:rich>
      </c:tx>
      <c:layout/>
      <c:overlay val="1"/>
    </c:title>
    <c:autoTitleDeleted val="0"/>
    <c:pivotFmts>
      <c:pivotFmt>
        <c:idx val="0"/>
      </c:pivotFmt>
      <c:pivotFmt>
        <c:idx val="1"/>
      </c:pivotFmt>
      <c:pivotFmt>
        <c:idx val="2"/>
      </c:pivotFmt>
    </c:pivotFmts>
    <c:plotArea>
      <c:layout>
        <c:manualLayout>
          <c:layoutTarget val="inner"/>
          <c:xMode val="edge"/>
          <c:yMode val="edge"/>
          <c:x val="0.1107279764371559"/>
          <c:y val="0.15156831357618758"/>
          <c:w val="0.80703518145758091"/>
          <c:h val="0.62195855325776583"/>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36105</c:v>
                </c:pt>
                <c:pt idx="1">
                  <c:v>38487</c:v>
                </c:pt>
                <c:pt idx="2">
                  <c:v>43611</c:v>
                </c:pt>
                <c:pt idx="3">
                  <c:v>45889</c:v>
                </c:pt>
                <c:pt idx="4">
                  <c:v>45677</c:v>
                </c:pt>
                <c:pt idx="5">
                  <c:v>42682</c:v>
                </c:pt>
                <c:pt idx="6">
                  <c:v>40779</c:v>
                </c:pt>
                <c:pt idx="7">
                  <c:v>37640</c:v>
                </c:pt>
                <c:pt idx="8">
                  <c:v>34757</c:v>
                </c:pt>
                <c:pt idx="9">
                  <c:v>32656</c:v>
                </c:pt>
                <c:pt idx="10">
                  <c:v>32209</c:v>
                </c:pt>
                <c:pt idx="11">
                  <c:v>32502</c:v>
                </c:pt>
                <c:pt idx="12">
                  <c:v>32074</c:v>
                </c:pt>
              </c:numCache>
            </c:numRef>
          </c:val>
          <c:smooth val="0"/>
        </c:ser>
        <c:dLbls>
          <c:showLegendKey val="0"/>
          <c:showVal val="0"/>
          <c:showCatName val="0"/>
          <c:showSerName val="0"/>
          <c:showPercent val="0"/>
          <c:showBubbleSize val="0"/>
        </c:dLbls>
        <c:marker val="1"/>
        <c:smooth val="0"/>
        <c:axId val="112310784"/>
        <c:axId val="90323136"/>
      </c:lineChart>
      <c:catAx>
        <c:axId val="112310784"/>
        <c:scaling>
          <c:orientation val="minMax"/>
        </c:scaling>
        <c:delete val="0"/>
        <c:axPos val="b"/>
        <c:majorTickMark val="out"/>
        <c:minorTickMark val="none"/>
        <c:tickLblPos val="nextTo"/>
        <c:crossAx val="90323136"/>
        <c:crosses val="autoZero"/>
        <c:auto val="1"/>
        <c:lblAlgn val="ctr"/>
        <c:lblOffset val="100"/>
        <c:noMultiLvlLbl val="0"/>
      </c:catAx>
      <c:valAx>
        <c:axId val="90323136"/>
        <c:scaling>
          <c:orientation val="minMax"/>
        </c:scaling>
        <c:delete val="0"/>
        <c:axPos val="l"/>
        <c:majorGridlines/>
        <c:numFmt formatCode="General" sourceLinked="1"/>
        <c:majorTickMark val="out"/>
        <c:minorTickMark val="none"/>
        <c:tickLblPos val="nextTo"/>
        <c:crossAx val="112310784"/>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municipios</a:t>
            </a:r>
            <a:endParaRPr lang="en-US" sz="1400"/>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458</c:v>
                </c:pt>
                <c:pt idx="1">
                  <c:v>2604</c:v>
                </c:pt>
                <c:pt idx="2">
                  <c:v>2141</c:v>
                </c:pt>
                <c:pt idx="3">
                  <c:v>2542</c:v>
                </c:pt>
                <c:pt idx="4">
                  <c:v>7190</c:v>
                </c:pt>
                <c:pt idx="5">
                  <c:v>17139</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10</c:v>
                </c:pt>
                <c:pt idx="1">
                  <c:v>14</c:v>
                </c:pt>
                <c:pt idx="2">
                  <c:v>3</c:v>
                </c:pt>
                <c:pt idx="3">
                  <c:v>2</c:v>
                </c:pt>
                <c:pt idx="4">
                  <c:v>1</c:v>
                </c:pt>
                <c:pt idx="5">
                  <c:v>1</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 (ADEFO)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4327710464083471"/>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ADEFO</c:v>
                </c:pt>
              </c:strCache>
            </c:strRef>
          </c:cat>
          <c:val>
            <c:numRef>
              <c:f>'nacimientos grupo'!$B$7:$B$8</c:f>
              <c:numCache>
                <c:formatCode>General</c:formatCode>
                <c:ptCount val="1"/>
                <c:pt idx="0">
                  <c:v>207</c:v>
                </c:pt>
              </c:numCache>
            </c:numRef>
          </c:val>
        </c:ser>
        <c:ser>
          <c:idx val="1"/>
          <c:order val="1"/>
          <c:tx>
            <c:strRef>
              <c:f>'nacimientos grupo'!$C$5:$C$6</c:f>
              <c:strCache>
                <c:ptCount val="1"/>
                <c:pt idx="0">
                  <c:v>Año 2011</c:v>
                </c:pt>
              </c:strCache>
            </c:strRef>
          </c:tx>
          <c:invertIfNegative val="0"/>
          <c:cat>
            <c:strRef>
              <c:f>'nacimientos grupo'!$A$7:$A$8</c:f>
              <c:strCache>
                <c:ptCount val="1"/>
                <c:pt idx="0">
                  <c:v>ADEFO</c:v>
                </c:pt>
              </c:strCache>
            </c:strRef>
          </c:cat>
          <c:val>
            <c:numRef>
              <c:f>'nacimientos grupo'!$C$7:$C$8</c:f>
              <c:numCache>
                <c:formatCode>General</c:formatCode>
                <c:ptCount val="1"/>
                <c:pt idx="0">
                  <c:v>218</c:v>
                </c:pt>
              </c:numCache>
            </c:numRef>
          </c:val>
        </c:ser>
        <c:ser>
          <c:idx val="2"/>
          <c:order val="2"/>
          <c:tx>
            <c:strRef>
              <c:f>'nacimientos grupo'!$D$5:$D$6</c:f>
              <c:strCache>
                <c:ptCount val="1"/>
                <c:pt idx="0">
                  <c:v>Año 2010</c:v>
                </c:pt>
              </c:strCache>
            </c:strRef>
          </c:tx>
          <c:invertIfNegative val="0"/>
          <c:cat>
            <c:strRef>
              <c:f>'nacimientos grupo'!$A$7:$A$8</c:f>
              <c:strCache>
                <c:ptCount val="1"/>
                <c:pt idx="0">
                  <c:v>ADEFO</c:v>
                </c:pt>
              </c:strCache>
            </c:strRef>
          </c:cat>
          <c:val>
            <c:numRef>
              <c:f>'nacimientos grupo'!$D$7:$D$8</c:f>
              <c:numCache>
                <c:formatCode>General</c:formatCode>
                <c:ptCount val="1"/>
                <c:pt idx="0">
                  <c:v>246</c:v>
                </c:pt>
              </c:numCache>
            </c:numRef>
          </c:val>
        </c:ser>
        <c:ser>
          <c:idx val="3"/>
          <c:order val="3"/>
          <c:tx>
            <c:strRef>
              <c:f>'nacimientos grupo'!$E$5:$E$6</c:f>
              <c:strCache>
                <c:ptCount val="1"/>
                <c:pt idx="0">
                  <c:v>Año 2009</c:v>
                </c:pt>
              </c:strCache>
            </c:strRef>
          </c:tx>
          <c:invertIfNegative val="0"/>
          <c:cat>
            <c:strRef>
              <c:f>'nacimientos grupo'!$A$7:$A$8</c:f>
              <c:strCache>
                <c:ptCount val="1"/>
                <c:pt idx="0">
                  <c:v>ADEFO</c:v>
                </c:pt>
              </c:strCache>
            </c:strRef>
          </c:cat>
          <c:val>
            <c:numRef>
              <c:f>'nacimientos grupo'!$E$7:$E$8</c:f>
              <c:numCache>
                <c:formatCode>General</c:formatCode>
                <c:ptCount val="1"/>
                <c:pt idx="0">
                  <c:v>232</c:v>
                </c:pt>
              </c:numCache>
            </c:numRef>
          </c:val>
        </c:ser>
        <c:ser>
          <c:idx val="4"/>
          <c:order val="4"/>
          <c:tx>
            <c:strRef>
              <c:f>'nacimientos grupo'!$F$5:$F$6</c:f>
              <c:strCache>
                <c:ptCount val="1"/>
                <c:pt idx="0">
                  <c:v>Año 2008</c:v>
                </c:pt>
              </c:strCache>
            </c:strRef>
          </c:tx>
          <c:invertIfNegative val="0"/>
          <c:cat>
            <c:strRef>
              <c:f>'nacimientos grupo'!$A$7:$A$8</c:f>
              <c:strCache>
                <c:ptCount val="1"/>
                <c:pt idx="0">
                  <c:v>ADEFO</c:v>
                </c:pt>
              </c:strCache>
            </c:strRef>
          </c:cat>
          <c:val>
            <c:numRef>
              <c:f>'nacimientos grupo'!$F$7:$F$8</c:f>
              <c:numCache>
                <c:formatCode>General</c:formatCode>
                <c:ptCount val="1"/>
                <c:pt idx="0">
                  <c:v>289</c:v>
                </c:pt>
              </c:numCache>
            </c:numRef>
          </c:val>
        </c:ser>
        <c:ser>
          <c:idx val="5"/>
          <c:order val="5"/>
          <c:tx>
            <c:strRef>
              <c:f>'nacimientos grupo'!$G$5:$G$6</c:f>
              <c:strCache>
                <c:ptCount val="1"/>
                <c:pt idx="0">
                  <c:v>Año 2007</c:v>
                </c:pt>
              </c:strCache>
            </c:strRef>
          </c:tx>
          <c:invertIfNegative val="0"/>
          <c:cat>
            <c:strRef>
              <c:f>'nacimientos grupo'!$A$7:$A$8</c:f>
              <c:strCache>
                <c:ptCount val="1"/>
                <c:pt idx="0">
                  <c:v>ADEFO</c:v>
                </c:pt>
              </c:strCache>
            </c:strRef>
          </c:cat>
          <c:val>
            <c:numRef>
              <c:f>'nacimientos grupo'!$G$7:$G$8</c:f>
              <c:numCache>
                <c:formatCode>General</c:formatCode>
                <c:ptCount val="1"/>
                <c:pt idx="0">
                  <c:v>267</c:v>
                </c:pt>
              </c:numCache>
            </c:numRef>
          </c:val>
        </c:ser>
        <c:dLbls>
          <c:showLegendKey val="0"/>
          <c:showVal val="0"/>
          <c:showCatName val="0"/>
          <c:showSerName val="0"/>
          <c:showPercent val="0"/>
          <c:showBubbleSize val="0"/>
        </c:dLbls>
        <c:gapWidth val="150"/>
        <c:shape val="cylinder"/>
        <c:axId val="109386752"/>
        <c:axId val="107598912"/>
        <c:axId val="0"/>
      </c:bar3DChart>
      <c:catAx>
        <c:axId val="109386752"/>
        <c:scaling>
          <c:orientation val="minMax"/>
        </c:scaling>
        <c:delete val="0"/>
        <c:axPos val="b"/>
        <c:majorTickMark val="out"/>
        <c:minorTickMark val="none"/>
        <c:tickLblPos val="nextTo"/>
        <c:crossAx val="107598912"/>
        <c:crosses val="autoZero"/>
        <c:auto val="1"/>
        <c:lblAlgn val="ctr"/>
        <c:lblOffset val="100"/>
        <c:noMultiLvlLbl val="0"/>
      </c:catAx>
      <c:valAx>
        <c:axId val="107598912"/>
        <c:scaling>
          <c:orientation val="minMax"/>
        </c:scaling>
        <c:delete val="0"/>
        <c:axPos val="l"/>
        <c:majorGridlines/>
        <c:numFmt formatCode="General" sourceLinked="1"/>
        <c:majorTickMark val="out"/>
        <c:minorTickMark val="none"/>
        <c:tickLblPos val="nextTo"/>
        <c:crossAx val="10938675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(ADEFO)</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8.9336406962287604E-2"/>
          <c:y val="0.16470881035340967"/>
          <c:w val="0.90134909123201701"/>
          <c:h val="0.70001450889355965"/>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ADEFO</c:v>
                </c:pt>
              </c:strCache>
            </c:strRef>
          </c:cat>
          <c:val>
            <c:numRef>
              <c:f>'defunciones grupo'!$B$7:$B$8</c:f>
              <c:numCache>
                <c:formatCode>General</c:formatCode>
                <c:ptCount val="1"/>
                <c:pt idx="0">
                  <c:v>431</c:v>
                </c:pt>
              </c:numCache>
            </c:numRef>
          </c:val>
        </c:ser>
        <c:ser>
          <c:idx val="1"/>
          <c:order val="1"/>
          <c:tx>
            <c:strRef>
              <c:f>'defunciones grupo'!$C$5:$C$6</c:f>
              <c:strCache>
                <c:ptCount val="1"/>
                <c:pt idx="0">
                  <c:v>Año 2011</c:v>
                </c:pt>
              </c:strCache>
            </c:strRef>
          </c:tx>
          <c:invertIfNegative val="0"/>
          <c:cat>
            <c:strRef>
              <c:f>'defunciones grupo'!$A$7:$A$8</c:f>
              <c:strCache>
                <c:ptCount val="1"/>
                <c:pt idx="0">
                  <c:v>ADEFO</c:v>
                </c:pt>
              </c:strCache>
            </c:strRef>
          </c:cat>
          <c:val>
            <c:numRef>
              <c:f>'defunciones grupo'!$C$7:$C$8</c:f>
              <c:numCache>
                <c:formatCode>General</c:formatCode>
                <c:ptCount val="1"/>
                <c:pt idx="0">
                  <c:v>417</c:v>
                </c:pt>
              </c:numCache>
            </c:numRef>
          </c:val>
        </c:ser>
        <c:ser>
          <c:idx val="2"/>
          <c:order val="2"/>
          <c:tx>
            <c:strRef>
              <c:f>'defunciones grupo'!$D$5:$D$6</c:f>
              <c:strCache>
                <c:ptCount val="1"/>
                <c:pt idx="0">
                  <c:v>Año 2010</c:v>
                </c:pt>
              </c:strCache>
            </c:strRef>
          </c:tx>
          <c:invertIfNegative val="0"/>
          <c:cat>
            <c:strRef>
              <c:f>'defunciones grupo'!$A$7:$A$8</c:f>
              <c:strCache>
                <c:ptCount val="1"/>
                <c:pt idx="0">
                  <c:v>ADEFO</c:v>
                </c:pt>
              </c:strCache>
            </c:strRef>
          </c:cat>
          <c:val>
            <c:numRef>
              <c:f>'defunciones grupo'!$D$7:$D$8</c:f>
              <c:numCache>
                <c:formatCode>General</c:formatCode>
                <c:ptCount val="1"/>
                <c:pt idx="0">
                  <c:v>394</c:v>
                </c:pt>
              </c:numCache>
            </c:numRef>
          </c:val>
        </c:ser>
        <c:ser>
          <c:idx val="3"/>
          <c:order val="3"/>
          <c:tx>
            <c:strRef>
              <c:f>'defunciones grupo'!$E$5:$E$6</c:f>
              <c:strCache>
                <c:ptCount val="1"/>
                <c:pt idx="0">
                  <c:v>Año 2009</c:v>
                </c:pt>
              </c:strCache>
            </c:strRef>
          </c:tx>
          <c:invertIfNegative val="0"/>
          <c:cat>
            <c:strRef>
              <c:f>'defunciones grupo'!$A$7:$A$8</c:f>
              <c:strCache>
                <c:ptCount val="1"/>
                <c:pt idx="0">
                  <c:v>ADEFO</c:v>
                </c:pt>
              </c:strCache>
            </c:strRef>
          </c:cat>
          <c:val>
            <c:numRef>
              <c:f>'defunciones grupo'!$E$7:$E$8</c:f>
              <c:numCache>
                <c:formatCode>General</c:formatCode>
                <c:ptCount val="1"/>
                <c:pt idx="0">
                  <c:v>412</c:v>
                </c:pt>
              </c:numCache>
            </c:numRef>
          </c:val>
        </c:ser>
        <c:ser>
          <c:idx val="4"/>
          <c:order val="4"/>
          <c:tx>
            <c:strRef>
              <c:f>'defunciones grupo'!$F$5:$F$6</c:f>
              <c:strCache>
                <c:ptCount val="1"/>
                <c:pt idx="0">
                  <c:v>Año 2008</c:v>
                </c:pt>
              </c:strCache>
            </c:strRef>
          </c:tx>
          <c:invertIfNegative val="0"/>
          <c:cat>
            <c:strRef>
              <c:f>'defunciones grupo'!$A$7:$A$8</c:f>
              <c:strCache>
                <c:ptCount val="1"/>
                <c:pt idx="0">
                  <c:v>ADEFO</c:v>
                </c:pt>
              </c:strCache>
            </c:strRef>
          </c:cat>
          <c:val>
            <c:numRef>
              <c:f>'defunciones grupo'!$F$7:$F$8</c:f>
              <c:numCache>
                <c:formatCode>General</c:formatCode>
                <c:ptCount val="1"/>
                <c:pt idx="0">
                  <c:v>388</c:v>
                </c:pt>
              </c:numCache>
            </c:numRef>
          </c:val>
        </c:ser>
        <c:ser>
          <c:idx val="5"/>
          <c:order val="5"/>
          <c:tx>
            <c:strRef>
              <c:f>'defunciones grupo'!$G$5:$G$6</c:f>
              <c:strCache>
                <c:ptCount val="1"/>
                <c:pt idx="0">
                  <c:v>Año 2007</c:v>
                </c:pt>
              </c:strCache>
            </c:strRef>
          </c:tx>
          <c:invertIfNegative val="0"/>
          <c:cat>
            <c:strRef>
              <c:f>'defunciones grupo'!$A$7:$A$8</c:f>
              <c:strCache>
                <c:ptCount val="1"/>
                <c:pt idx="0">
                  <c:v>ADEFO</c:v>
                </c:pt>
              </c:strCache>
            </c:strRef>
          </c:cat>
          <c:val>
            <c:numRef>
              <c:f>'defunciones grupo'!$G$7:$G$8</c:f>
              <c:numCache>
                <c:formatCode>General</c:formatCode>
                <c:ptCount val="1"/>
                <c:pt idx="0">
                  <c:v>377</c:v>
                </c:pt>
              </c:numCache>
            </c:numRef>
          </c:val>
        </c:ser>
        <c:ser>
          <c:idx val="6"/>
          <c:order val="6"/>
          <c:tx>
            <c:strRef>
              <c:f>'defunciones grupo'!$H$5:$H$6</c:f>
              <c:strCache>
                <c:ptCount val="1"/>
                <c:pt idx="0">
                  <c:v>Año 2006</c:v>
                </c:pt>
              </c:strCache>
            </c:strRef>
          </c:tx>
          <c:invertIfNegative val="0"/>
          <c:cat>
            <c:strRef>
              <c:f>'defunciones grupo'!$A$7:$A$8</c:f>
              <c:strCache>
                <c:ptCount val="1"/>
                <c:pt idx="0">
                  <c:v>ADEFO</c:v>
                </c:pt>
              </c:strCache>
            </c:strRef>
          </c:cat>
          <c:val>
            <c:numRef>
              <c:f>'defunciones grupo'!$H$7:$H$8</c:f>
              <c:numCache>
                <c:formatCode>General</c:formatCode>
                <c:ptCount val="1"/>
                <c:pt idx="0">
                  <c:v>372</c:v>
                </c:pt>
              </c:numCache>
            </c:numRef>
          </c:val>
        </c:ser>
        <c:dLbls>
          <c:showLegendKey val="0"/>
          <c:showVal val="0"/>
          <c:showCatName val="0"/>
          <c:showSerName val="0"/>
          <c:showPercent val="0"/>
          <c:showBubbleSize val="0"/>
        </c:dLbls>
        <c:gapWidth val="150"/>
        <c:shape val="cylinder"/>
        <c:axId val="112972288"/>
        <c:axId val="107600640"/>
        <c:axId val="0"/>
      </c:bar3DChart>
      <c:catAx>
        <c:axId val="112972288"/>
        <c:scaling>
          <c:orientation val="minMax"/>
        </c:scaling>
        <c:delete val="0"/>
        <c:axPos val="b"/>
        <c:majorTickMark val="out"/>
        <c:minorTickMark val="none"/>
        <c:tickLblPos val="nextTo"/>
        <c:crossAx val="107600640"/>
        <c:crosses val="autoZero"/>
        <c:auto val="1"/>
        <c:lblAlgn val="ctr"/>
        <c:lblOffset val="100"/>
        <c:noMultiLvlLbl val="0"/>
      </c:catAx>
      <c:valAx>
        <c:axId val="107600640"/>
        <c:scaling>
          <c:orientation val="minMax"/>
        </c:scaling>
        <c:delete val="0"/>
        <c:axPos val="l"/>
        <c:majorGridlines/>
        <c:numFmt formatCode="General" sourceLinked="1"/>
        <c:majorTickMark val="out"/>
        <c:minorTickMark val="none"/>
        <c:tickLblPos val="nextTo"/>
        <c:crossAx val="11297228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9.1516370483333859E-2"/>
          <c:y val="0.15306358112716226"/>
          <c:w val="0.8887207836668638"/>
          <c:h val="0.70355764461528925"/>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ADEFO</c:v>
                </c:pt>
              </c:strCache>
            </c:strRef>
          </c:cat>
          <c:val>
            <c:numRef>
              <c:f>'variación residencia grupo'!$B$7:$B$8</c:f>
              <c:numCache>
                <c:formatCode>General</c:formatCode>
                <c:ptCount val="1"/>
                <c:pt idx="0">
                  <c:v>-330</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ADEFO</c:v>
                </c:pt>
              </c:strCache>
            </c:strRef>
          </c:cat>
          <c:val>
            <c:numRef>
              <c:f>'variación residencia grupo'!$C$7:$C$8</c:f>
              <c:numCache>
                <c:formatCode>General</c:formatCode>
                <c:ptCount val="1"/>
                <c:pt idx="0">
                  <c:v>-375</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ADEFO</c:v>
                </c:pt>
              </c:strCache>
            </c:strRef>
          </c:cat>
          <c:val>
            <c:numRef>
              <c:f>'variación residencia grupo'!$D$7:$D$8</c:f>
              <c:numCache>
                <c:formatCode>General</c:formatCode>
                <c:ptCount val="1"/>
                <c:pt idx="0">
                  <c:v>-351</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ADEFO</c:v>
                </c:pt>
              </c:strCache>
            </c:strRef>
          </c:cat>
          <c:val>
            <c:numRef>
              <c:f>'variación residencia grupo'!$E$7:$E$8</c:f>
              <c:numCache>
                <c:formatCode>General</c:formatCode>
                <c:ptCount val="1"/>
                <c:pt idx="0">
                  <c:v>-181</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ADEFO</c:v>
                </c:pt>
              </c:strCache>
            </c:strRef>
          </c:cat>
          <c:val>
            <c:numRef>
              <c:f>'variación residencia grupo'!$F$7:$F$8</c:f>
              <c:numCache>
                <c:formatCode>General</c:formatCode>
                <c:ptCount val="1"/>
                <c:pt idx="0">
                  <c:v>-112</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ADEFO</c:v>
                </c:pt>
              </c:strCache>
            </c:strRef>
          </c:cat>
          <c:val>
            <c:numRef>
              <c:f>'variación residencia grupo'!$G$7:$G$8</c:f>
              <c:numCache>
                <c:formatCode>General</c:formatCode>
                <c:ptCount val="1"/>
                <c:pt idx="0">
                  <c:v>62</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ADEFO</c:v>
                </c:pt>
              </c:strCache>
            </c:strRef>
          </c:cat>
          <c:val>
            <c:numRef>
              <c:f>'variación residencia grupo'!$H$7:$H$8</c:f>
              <c:numCache>
                <c:formatCode>General</c:formatCode>
                <c:ptCount val="1"/>
                <c:pt idx="0">
                  <c:v>248</c:v>
                </c:pt>
              </c:numCache>
            </c:numRef>
          </c:val>
        </c:ser>
        <c:dLbls>
          <c:showLegendKey val="0"/>
          <c:showVal val="0"/>
          <c:showCatName val="0"/>
          <c:showSerName val="0"/>
          <c:showPercent val="0"/>
          <c:showBubbleSize val="0"/>
        </c:dLbls>
        <c:gapWidth val="150"/>
        <c:shape val="cylinder"/>
        <c:axId val="112972800"/>
        <c:axId val="112984640"/>
        <c:axId val="0"/>
      </c:bar3DChart>
      <c:catAx>
        <c:axId val="112972800"/>
        <c:scaling>
          <c:orientation val="minMax"/>
        </c:scaling>
        <c:delete val="0"/>
        <c:axPos val="b"/>
        <c:majorTickMark val="out"/>
        <c:minorTickMark val="none"/>
        <c:tickLblPos val="low"/>
        <c:crossAx val="112984640"/>
        <c:crosses val="autoZero"/>
        <c:auto val="1"/>
        <c:lblAlgn val="ctr"/>
        <c:lblOffset val="100"/>
        <c:noMultiLvlLbl val="0"/>
      </c:catAx>
      <c:valAx>
        <c:axId val="112984640"/>
        <c:scaling>
          <c:orientation val="minMax"/>
        </c:scaling>
        <c:delete val="0"/>
        <c:axPos val="l"/>
        <c:majorGridlines/>
        <c:numFmt formatCode="General" sourceLinked="1"/>
        <c:majorTickMark val="out"/>
        <c:minorTickMark val="none"/>
        <c:tickLblPos val="nextTo"/>
        <c:crossAx val="11297280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actividades 2012!Tabla dinámica1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4797334834556787E-2"/>
          <c:y val="4.8440312761951876E-2"/>
          <c:w val="0.56726159641229057"/>
          <c:h val="0.86368693242612971"/>
        </c:manualLayout>
      </c:layout>
      <c:bar3DChart>
        <c:barDir val="col"/>
        <c:grouping val="clustered"/>
        <c:varyColors val="0"/>
        <c:ser>
          <c:idx val="0"/>
          <c:order val="0"/>
          <c:tx>
            <c:strRef>
              <c:f>'Tabla actividades 2012'!$B$5:$B$6</c:f>
              <c:strCache>
                <c:ptCount val="1"/>
                <c:pt idx="0">
                  <c:v>Totales Agricultura, ganadería, silvicultura y pesca</c:v>
                </c:pt>
              </c:strCache>
            </c:strRef>
          </c:tx>
          <c:invertIfNegative val="0"/>
          <c:cat>
            <c:strRef>
              <c:f>'Tabla actividades 2012'!$A$7:$A$8</c:f>
              <c:strCache>
                <c:ptCount val="1"/>
                <c:pt idx="0">
                  <c:v>ADEFO</c:v>
                </c:pt>
              </c:strCache>
            </c:strRef>
          </c:cat>
          <c:val>
            <c:numRef>
              <c:f>'Tabla actividades 2012'!$B$7:$B$8</c:f>
              <c:numCache>
                <c:formatCode>General</c:formatCode>
                <c:ptCount val="1"/>
                <c:pt idx="0">
                  <c:v>630</c:v>
                </c:pt>
              </c:numCache>
            </c:numRef>
          </c:val>
        </c:ser>
        <c:ser>
          <c:idx val="1"/>
          <c:order val="1"/>
          <c:tx>
            <c:strRef>
              <c:f>'Tabla actividades 2012'!$C$5:$C$6</c:f>
              <c:strCache>
                <c:ptCount val="1"/>
                <c:pt idx="0">
                  <c:v>Totales Industria</c:v>
                </c:pt>
              </c:strCache>
            </c:strRef>
          </c:tx>
          <c:invertIfNegative val="0"/>
          <c:cat>
            <c:strRef>
              <c:f>'Tabla actividades 2012'!$A$7:$A$8</c:f>
              <c:strCache>
                <c:ptCount val="1"/>
                <c:pt idx="0">
                  <c:v>ADEFO</c:v>
                </c:pt>
              </c:strCache>
            </c:strRef>
          </c:cat>
          <c:val>
            <c:numRef>
              <c:f>'Tabla actividades 2012'!$C$7:$C$8</c:f>
              <c:numCache>
                <c:formatCode>General</c:formatCode>
                <c:ptCount val="1"/>
                <c:pt idx="0">
                  <c:v>355</c:v>
                </c:pt>
              </c:numCache>
            </c:numRef>
          </c:val>
        </c:ser>
        <c:ser>
          <c:idx val="2"/>
          <c:order val="2"/>
          <c:tx>
            <c:strRef>
              <c:f>'Tabla actividades 2012'!$D$5:$D$6</c:f>
              <c:strCache>
                <c:ptCount val="1"/>
                <c:pt idx="0">
                  <c:v>Totales Energía y agua</c:v>
                </c:pt>
              </c:strCache>
            </c:strRef>
          </c:tx>
          <c:invertIfNegative val="0"/>
          <c:cat>
            <c:strRef>
              <c:f>'Tabla actividades 2012'!$A$7:$A$8</c:f>
              <c:strCache>
                <c:ptCount val="1"/>
                <c:pt idx="0">
                  <c:v>ADEFO</c:v>
                </c:pt>
              </c:strCache>
            </c:strRef>
          </c:cat>
          <c:val>
            <c:numRef>
              <c:f>'Tabla actividades 2012'!$D$7:$D$8</c:f>
              <c:numCache>
                <c:formatCode>General</c:formatCode>
                <c:ptCount val="1"/>
                <c:pt idx="0">
                  <c:v>301</c:v>
                </c:pt>
              </c:numCache>
            </c:numRef>
          </c:val>
        </c:ser>
        <c:ser>
          <c:idx val="3"/>
          <c:order val="3"/>
          <c:tx>
            <c:strRef>
              <c:f>'Tabla actividades 2012'!$E$5:$E$6</c:f>
              <c:strCache>
                <c:ptCount val="1"/>
                <c:pt idx="0">
                  <c:v>Totales Construcción</c:v>
                </c:pt>
              </c:strCache>
            </c:strRef>
          </c:tx>
          <c:invertIfNegative val="0"/>
          <c:cat>
            <c:strRef>
              <c:f>'Tabla actividades 2012'!$A$7:$A$8</c:f>
              <c:strCache>
                <c:ptCount val="1"/>
                <c:pt idx="0">
                  <c:v>ADEFO</c:v>
                </c:pt>
              </c:strCache>
            </c:strRef>
          </c:cat>
          <c:val>
            <c:numRef>
              <c:f>'Tabla actividades 2012'!$E$7:$E$8</c:f>
              <c:numCache>
                <c:formatCode>General</c:formatCode>
                <c:ptCount val="1"/>
                <c:pt idx="0">
                  <c:v>709</c:v>
                </c:pt>
              </c:numCache>
            </c:numRef>
          </c:val>
        </c:ser>
        <c:ser>
          <c:idx val="4"/>
          <c:order val="4"/>
          <c:tx>
            <c:strRef>
              <c:f>'Tabla actividades 2012'!$F$5:$F$6</c:f>
              <c:strCache>
                <c:ptCount val="1"/>
                <c:pt idx="0">
                  <c:v>Totales Servicios</c:v>
                </c:pt>
              </c:strCache>
            </c:strRef>
          </c:tx>
          <c:invertIfNegative val="0"/>
          <c:cat>
            <c:strRef>
              <c:f>'Tabla actividades 2012'!$A$7:$A$8</c:f>
              <c:strCache>
                <c:ptCount val="1"/>
                <c:pt idx="0">
                  <c:v>ADEFO</c:v>
                </c:pt>
              </c:strCache>
            </c:strRef>
          </c:cat>
          <c:val>
            <c:numRef>
              <c:f>'Tabla actividades 2012'!$F$7:$F$8</c:f>
              <c:numCache>
                <c:formatCode>General</c:formatCode>
                <c:ptCount val="1"/>
                <c:pt idx="0">
                  <c:v>2716</c:v>
                </c:pt>
              </c:numCache>
            </c:numRef>
          </c:val>
        </c:ser>
        <c:dLbls>
          <c:showLegendKey val="0"/>
          <c:showVal val="0"/>
          <c:showCatName val="0"/>
          <c:showSerName val="0"/>
          <c:showPercent val="0"/>
          <c:showBubbleSize val="0"/>
        </c:dLbls>
        <c:gapWidth val="150"/>
        <c:shape val="box"/>
        <c:axId val="112974336"/>
        <c:axId val="112986368"/>
        <c:axId val="0"/>
      </c:bar3DChart>
      <c:catAx>
        <c:axId val="112974336"/>
        <c:scaling>
          <c:orientation val="minMax"/>
        </c:scaling>
        <c:delete val="0"/>
        <c:axPos val="b"/>
        <c:majorTickMark val="out"/>
        <c:minorTickMark val="none"/>
        <c:tickLblPos val="nextTo"/>
        <c:crossAx val="112986368"/>
        <c:crosses val="autoZero"/>
        <c:auto val="1"/>
        <c:lblAlgn val="ctr"/>
        <c:lblOffset val="100"/>
        <c:noMultiLvlLbl val="0"/>
      </c:catAx>
      <c:valAx>
        <c:axId val="112986368"/>
        <c:scaling>
          <c:orientation val="minMax"/>
        </c:scaling>
        <c:delete val="0"/>
        <c:axPos val="l"/>
        <c:majorGridlines/>
        <c:numFmt formatCode="General" sourceLinked="1"/>
        <c:majorTickMark val="out"/>
        <c:minorTickMark val="none"/>
        <c:tickLblPos val="nextTo"/>
        <c:crossAx val="112974336"/>
        <c:crosses val="autoZero"/>
        <c:crossBetween val="between"/>
      </c:valAx>
    </c:plotArea>
    <c:legend>
      <c:legendPos val="b"/>
      <c:layout>
        <c:manualLayout>
          <c:xMode val="edge"/>
          <c:yMode val="edge"/>
          <c:x val="0.70744553312414904"/>
          <c:y val="7.3483025304329542E-4"/>
          <c:w val="0.2717826801255106"/>
          <c:h val="0.9992651697469566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0070147628536079E-2"/>
          <c:y val="5.7023727195887879E-2"/>
          <c:w val="0.57216121011189391"/>
          <c:h val="0.78801345902640441"/>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ADEFO</c:v>
                </c:pt>
              </c:strCache>
            </c:strRef>
          </c:cat>
          <c:val>
            <c:numRef>
              <c:f>'Tabla evolucion 2012-2011'!$B$9</c:f>
              <c:numCache>
                <c:formatCode>General</c:formatCode>
                <c:ptCount val="1"/>
                <c:pt idx="0">
                  <c:v>-17</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ADEFO</c:v>
                </c:pt>
              </c:strCache>
            </c:strRef>
          </c:cat>
          <c:val>
            <c:numRef>
              <c:f>'Tabla evolucion 2012-2011'!$C$9</c:f>
              <c:numCache>
                <c:formatCode>General</c:formatCode>
                <c:ptCount val="1"/>
                <c:pt idx="0">
                  <c:v>-24</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ADEFO</c:v>
                </c:pt>
              </c:strCache>
            </c:strRef>
          </c:cat>
          <c:val>
            <c:numRef>
              <c:f>'Tabla evolucion 2012-2011'!$D$9</c:f>
              <c:numCache>
                <c:formatCode>General</c:formatCode>
                <c:ptCount val="1"/>
                <c:pt idx="0">
                  <c:v>3</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ADEFO</c:v>
                </c:pt>
              </c:strCache>
            </c:strRef>
          </c:cat>
          <c:val>
            <c:numRef>
              <c:f>'Tabla evolucion 2012-2011'!$E$9</c:f>
              <c:numCache>
                <c:formatCode>General</c:formatCode>
                <c:ptCount val="1"/>
                <c:pt idx="0">
                  <c:v>-108</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ADEFO</c:v>
                </c:pt>
              </c:strCache>
            </c:strRef>
          </c:cat>
          <c:val>
            <c:numRef>
              <c:f>'Tabla evolucion 2012-2011'!$F$9</c:f>
              <c:numCache>
                <c:formatCode>General</c:formatCode>
                <c:ptCount val="1"/>
                <c:pt idx="0">
                  <c:v>-158</c:v>
                </c:pt>
              </c:numCache>
            </c:numRef>
          </c:val>
        </c:ser>
        <c:dLbls>
          <c:showLegendKey val="0"/>
          <c:showVal val="0"/>
          <c:showCatName val="0"/>
          <c:showSerName val="0"/>
          <c:showPercent val="0"/>
          <c:showBubbleSize val="0"/>
        </c:dLbls>
        <c:gapWidth val="150"/>
        <c:shape val="box"/>
        <c:axId val="112974848"/>
        <c:axId val="112988096"/>
        <c:axId val="0"/>
      </c:bar3DChart>
      <c:catAx>
        <c:axId val="112974848"/>
        <c:scaling>
          <c:orientation val="minMax"/>
        </c:scaling>
        <c:delete val="0"/>
        <c:axPos val="b"/>
        <c:majorTickMark val="out"/>
        <c:minorTickMark val="none"/>
        <c:tickLblPos val="low"/>
        <c:crossAx val="112988096"/>
        <c:crosses val="autoZero"/>
        <c:auto val="1"/>
        <c:lblAlgn val="ctr"/>
        <c:lblOffset val="100"/>
        <c:noMultiLvlLbl val="0"/>
      </c:catAx>
      <c:valAx>
        <c:axId val="112988096"/>
        <c:scaling>
          <c:orientation val="minMax"/>
        </c:scaling>
        <c:delete val="0"/>
        <c:axPos val="l"/>
        <c:majorGridlines/>
        <c:numFmt formatCode="General" sourceLinked="1"/>
        <c:majorTickMark val="out"/>
        <c:minorTickMark val="none"/>
        <c:tickLblPos val="nextTo"/>
        <c:crossAx val="112974848"/>
        <c:crosses val="autoZero"/>
        <c:crossBetween val="between"/>
      </c:valAx>
    </c:plotArea>
    <c:legend>
      <c:legendPos val="b"/>
      <c:layout>
        <c:manualLayout>
          <c:xMode val="edge"/>
          <c:yMode val="edge"/>
          <c:x val="0.66355067047540106"/>
          <c:y val="8.0435582607070261E-2"/>
          <c:w val="0.31434602747025048"/>
          <c:h val="0.8305436458795766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3062,44</a:t>
          </a:r>
          <a:r>
            <a:rPr lang="es-ES" b="1"/>
            <a:t>km</a:t>
          </a:r>
          <a:r>
            <a:rPr lang="es-ES" b="1" baseline="30000"/>
            <a:t>2</a:t>
          </a:r>
          <a:endParaRPr lang="es-ES"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10,47</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BDAFB465-BAA4-4BDB-ABC8-333FC0795CDB}" type="presOf" srcId="{5A345620-AAE9-43AC-BFA5-7DCF838F6E6A}" destId="{BF6713A8-036E-43D7-9142-70FA401CC8E0}" srcOrd="0" destOrd="0" presId="urn:microsoft.com/office/officeart/2005/8/layout/hList9"/>
    <dgm:cxn modelId="{A3CD7E36-CD76-4FD7-AEE5-5E600344D1DE}" srcId="{8A25AA0E-05A3-48A4-9066-D86732F11EE6}" destId="{F52A5D61-5B52-41D6-82AD-1AB126421323}" srcOrd="0" destOrd="0" parTransId="{44CB80DE-7E59-49AB-834D-195C1AEC6F98}" sibTransId="{E6BF93AC-B433-416D-AA9F-D813E2E7E394}"/>
    <dgm:cxn modelId="{B4D7B75F-EEBF-465C-98A1-5D3AB422E8F3}" srcId="{18A8730F-81C8-4E32-8AFC-F641D9564C32}" destId="{5A345620-AAE9-43AC-BFA5-7DCF838F6E6A}" srcOrd="0" destOrd="0" parTransId="{E6081994-E4C2-4952-BBDE-14351334798F}" sibTransId="{0DB3948C-1A0B-476A-81D8-3AAF2857D4B8}"/>
    <dgm:cxn modelId="{9714E75F-97B0-41C3-84E6-A6B1AA4F6159}" type="presOf" srcId="{F52A5D61-5B52-41D6-82AD-1AB126421323}" destId="{A37BC357-048C-4C8A-9C7C-39AAB06E79AE}" srcOrd="1" destOrd="0" presId="urn:microsoft.com/office/officeart/2005/8/layout/hList9"/>
    <dgm:cxn modelId="{F23661FA-D4D5-4F66-9766-BE013364C55A}" srcId="{5A345620-AAE9-43AC-BFA5-7DCF838F6E6A}" destId="{DC8F0761-D699-4726-9FCA-759596682644}" srcOrd="0" destOrd="0" parTransId="{BCF338E4-6CE5-47FC-8844-97E4499475F5}" sibTransId="{3D522E44-48E3-4E26-A847-8B9E2C2F175D}"/>
    <dgm:cxn modelId="{920E907D-2BED-43F9-AB9D-D459DD80FF73}" type="presOf" srcId="{DC8F0761-D699-4726-9FCA-759596682644}" destId="{DACECD24-1E16-43E4-80BE-26CFAFDBDD5C}" srcOrd="1" destOrd="0" presId="urn:microsoft.com/office/officeart/2005/8/layout/hList9"/>
    <dgm:cxn modelId="{2A2F3006-D30A-41A3-AEF5-2EC027BB730F}" type="presOf" srcId="{F52A5D61-5B52-41D6-82AD-1AB126421323}" destId="{53641B60-3D2A-48DF-8978-B44702B50950}" srcOrd="0" destOrd="0" presId="urn:microsoft.com/office/officeart/2005/8/layout/hList9"/>
    <dgm:cxn modelId="{455934F0-0CF8-4939-AEA8-4C0D0EDD3A9C}" type="presOf" srcId="{DC8F0761-D699-4726-9FCA-759596682644}" destId="{7E56BCF3-9CB5-4F8B-BE2F-0C63200680D4}" srcOrd="0" destOrd="0" presId="urn:microsoft.com/office/officeart/2005/8/layout/hList9"/>
    <dgm:cxn modelId="{7636159A-D725-44AB-BEEA-10D29CE28B1E}" type="presOf" srcId="{18A8730F-81C8-4E32-8AFC-F641D9564C32}" destId="{E62352AE-7A92-409B-A693-FF5F5F371E72}" srcOrd="0"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3FBC932B-50BC-47FC-8359-062A89539A0F}" type="presOf" srcId="{8A25AA0E-05A3-48A4-9066-D86732F11EE6}" destId="{575C1222-BBA2-426D-9CA7-C61006236803}" srcOrd="0" destOrd="0" presId="urn:microsoft.com/office/officeart/2005/8/layout/hList9"/>
    <dgm:cxn modelId="{6C0DA948-C1AF-4D82-9B9F-CA98430C868A}" type="presParOf" srcId="{E62352AE-7A92-409B-A693-FF5F5F371E72}" destId="{601C966D-3AF6-4118-B620-1E3EFBE740C9}" srcOrd="0" destOrd="0" presId="urn:microsoft.com/office/officeart/2005/8/layout/hList9"/>
    <dgm:cxn modelId="{CBB69E9D-B9B8-4F8D-BB34-54E4706B8D9F}" type="presParOf" srcId="{E62352AE-7A92-409B-A693-FF5F5F371E72}" destId="{F36D099F-EEB4-4F98-872E-B1D06C65E133}" srcOrd="1" destOrd="0" presId="urn:microsoft.com/office/officeart/2005/8/layout/hList9"/>
    <dgm:cxn modelId="{7109A27B-00D6-4505-8DA5-89F5730BCE79}" type="presParOf" srcId="{F36D099F-EEB4-4F98-872E-B1D06C65E133}" destId="{DB5C4403-791E-4B02-859B-EC3F5B33D810}" srcOrd="0" destOrd="0" presId="urn:microsoft.com/office/officeart/2005/8/layout/hList9"/>
    <dgm:cxn modelId="{C3C7DE61-BEE1-431C-A1CC-B539BC306304}" type="presParOf" srcId="{F36D099F-EEB4-4F98-872E-B1D06C65E133}" destId="{8F52367C-0189-4D38-8029-7D76FCD93C77}" srcOrd="1" destOrd="0" presId="urn:microsoft.com/office/officeart/2005/8/layout/hList9"/>
    <dgm:cxn modelId="{F63044F8-F293-49A2-B2B8-8487F14FACEA}" type="presParOf" srcId="{8F52367C-0189-4D38-8029-7D76FCD93C77}" destId="{7E56BCF3-9CB5-4F8B-BE2F-0C63200680D4}" srcOrd="0" destOrd="0" presId="urn:microsoft.com/office/officeart/2005/8/layout/hList9"/>
    <dgm:cxn modelId="{5EA8AC0F-6F80-4582-B8AA-74F614C7BA4F}" type="presParOf" srcId="{8F52367C-0189-4D38-8029-7D76FCD93C77}" destId="{DACECD24-1E16-43E4-80BE-26CFAFDBDD5C}" srcOrd="1" destOrd="0" presId="urn:microsoft.com/office/officeart/2005/8/layout/hList9"/>
    <dgm:cxn modelId="{EA597E78-CDB4-4721-8D51-5E884CD76C08}" type="presParOf" srcId="{E62352AE-7A92-409B-A693-FF5F5F371E72}" destId="{5246FFAB-65CC-4258-8CBF-5E13D423474C}" srcOrd="2" destOrd="0" presId="urn:microsoft.com/office/officeart/2005/8/layout/hList9"/>
    <dgm:cxn modelId="{6C4E90DF-C7B8-4A78-9D01-52C7F6AD5FAB}" type="presParOf" srcId="{E62352AE-7A92-409B-A693-FF5F5F371E72}" destId="{BF6713A8-036E-43D7-9142-70FA401CC8E0}" srcOrd="3" destOrd="0" presId="urn:microsoft.com/office/officeart/2005/8/layout/hList9"/>
    <dgm:cxn modelId="{44C721EC-072E-4AC0-9A0A-74D756D04F18}" type="presParOf" srcId="{E62352AE-7A92-409B-A693-FF5F5F371E72}" destId="{FB6E445D-BFE8-4AE0-9399-C0EECE766FC0}" srcOrd="4" destOrd="0" presId="urn:microsoft.com/office/officeart/2005/8/layout/hList9"/>
    <dgm:cxn modelId="{52FAAAC5-47C3-4D75-9BA9-034BCAF5A9D8}" type="presParOf" srcId="{E62352AE-7A92-409B-A693-FF5F5F371E72}" destId="{99EAC4E4-9F15-4285-B02D-55B2D929CDCE}" srcOrd="5" destOrd="0" presId="urn:microsoft.com/office/officeart/2005/8/layout/hList9"/>
    <dgm:cxn modelId="{15736B03-BBF8-4253-A503-94C77AEDDF7A}" type="presParOf" srcId="{E62352AE-7A92-409B-A693-FF5F5F371E72}" destId="{C29BD979-117A-4098-82FD-CF9E1B668D9D}" srcOrd="6" destOrd="0" presId="urn:microsoft.com/office/officeart/2005/8/layout/hList9"/>
    <dgm:cxn modelId="{5C47FD97-B574-4DAE-97E6-13C2DFF0E30C}" type="presParOf" srcId="{C29BD979-117A-4098-82FD-CF9E1B668D9D}" destId="{A6CEB835-8B0C-4E1D-9DF6-36136D68911F}" srcOrd="0" destOrd="0" presId="urn:microsoft.com/office/officeart/2005/8/layout/hList9"/>
    <dgm:cxn modelId="{CC16CA71-B320-4CE3-A527-797A082543B4}" type="presParOf" srcId="{C29BD979-117A-4098-82FD-CF9E1B668D9D}" destId="{43FC3AB4-C3DD-4D28-BDA2-12470C5C44D6}" srcOrd="1" destOrd="0" presId="urn:microsoft.com/office/officeart/2005/8/layout/hList9"/>
    <dgm:cxn modelId="{76AA7A32-1716-409E-A753-635A5A104890}" type="presParOf" srcId="{43FC3AB4-C3DD-4D28-BDA2-12470C5C44D6}" destId="{53641B60-3D2A-48DF-8978-B44702B50950}" srcOrd="0" destOrd="0" presId="urn:microsoft.com/office/officeart/2005/8/layout/hList9"/>
    <dgm:cxn modelId="{7C025A6D-39B0-4FBD-9E5A-B1250ECA068E}" type="presParOf" srcId="{43FC3AB4-C3DD-4D28-BDA2-12470C5C44D6}" destId="{A37BC357-048C-4C8A-9C7C-39AAB06E79AE}" srcOrd="1" destOrd="0" presId="urn:microsoft.com/office/officeart/2005/8/layout/hList9"/>
    <dgm:cxn modelId="{8B31AE49-5AD0-49DA-98D3-089AA99EEDD5}" type="presParOf" srcId="{E62352AE-7A92-409B-A693-FF5F5F371E72}" destId="{8196E043-9A47-465E-9AB6-9778260CB821}" srcOrd="7" destOrd="0" presId="urn:microsoft.com/office/officeart/2005/8/layout/hList9"/>
    <dgm:cxn modelId="{7045BDF0-6F21-4F85-A6F4-4DEB80C96C2D}"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3062,44</a:t>
          </a:r>
          <a:r>
            <a:rPr lang="es-ES" sz="1500" b="1" kern="1200"/>
            <a:t>km</a:t>
          </a:r>
          <a:r>
            <a:rPr lang="es-ES" sz="1500" b="1" kern="1200" baseline="30000"/>
            <a:t>2</a:t>
          </a:r>
          <a:endParaRPr lang="es-ES" sz="1500"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10,47</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51C57A-AAA7-4054-9581-FB605058F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24</Pages>
  <Words>1817</Words>
  <Characters>9996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Caracterización territorial del Grupo de Acción Local         (ADEFO)</vt:lpstr>
    </vt:vector>
  </TitlesOfParts>
  <Company/>
  <LinksUpToDate>false</LinksUpToDate>
  <CharactersWithSpaces>11790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Cinco Villas. Asociación para el Desarrollo y Fomento de las Cinco Villas (Adefo)</dc:title>
  <dc:subject/>
  <dc:creator>miriam escorza torrijos</dc:creator>
  <cp:keywords/>
  <dc:description/>
  <cp:lastModifiedBy>miriam escorza torrijos</cp:lastModifiedBy>
  <cp:revision>70</cp:revision>
  <dcterms:created xsi:type="dcterms:W3CDTF">2014-12-16T11:01:00Z</dcterms:created>
  <dcterms:modified xsi:type="dcterms:W3CDTF">2015-02-19T11:20:00Z</dcterms:modified>
</cp:coreProperties>
</file>