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BF42DB">
          <w:pPr>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430BE407" wp14:editId="3A37B36A">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BF42DB">
            <w:rPr>
              <w:color w:val="000000" w:themeColor="text1"/>
              <w:sz w:val="28"/>
              <w:szCs w:val="28"/>
            </w:rPr>
            <w:t>Febrero</w:t>
          </w:r>
          <w:r w:rsidRPr="005047FE">
            <w:rPr>
              <w:color w:val="000000" w:themeColor="text1"/>
              <w:sz w:val="28"/>
              <w:szCs w:val="28"/>
            </w:rPr>
            <w:t xml:space="preserve"> 2014</w:t>
          </w:r>
        </w:p>
        <w:p w:rsidR="005047FE" w:rsidRPr="005047FE" w:rsidRDefault="005047FE">
          <w:pPr>
            <w:jc w:val="right"/>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05EABF4E" wp14:editId="19B9C5FD">
                    <wp:simplePos x="0" y="0"/>
                    <wp:positionH relativeFrom="column">
                      <wp:posOffset>-702119</wp:posOffset>
                    </wp:positionH>
                    <wp:positionV relativeFrom="paragraph">
                      <wp:posOffset>173309</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55.3pt;margin-top:13.65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" fillcolor="#5f497a [2407]" stroked="f" strokeweight="2pt"/>
                </w:pict>
              </mc:Fallback>
            </mc:AlternateContent>
          </w:r>
        </w:p>
        <w:sdt>
          <w:sdtPr>
            <w:rPr>
              <w:b/>
              <w:color w:val="FFFFFF" w:themeColor="background1"/>
              <w:sz w:val="32"/>
              <w:szCs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5047FE" w:rsidRDefault="005047FE" w:rsidP="005047FE">
              <w:pPr>
                <w:jc w:val="center"/>
                <w:rPr>
                  <w:b/>
                  <w:color w:val="FFFFFF" w:themeColor="background1"/>
                  <w:sz w:val="32"/>
                  <w:szCs w:val="32"/>
                </w:rPr>
              </w:pPr>
              <w:r w:rsidRPr="005047FE">
                <w:rPr>
                  <w:b/>
                  <w:color w:val="FFFFFF" w:themeColor="background1"/>
                  <w:sz w:val="32"/>
                  <w:szCs w:val="32"/>
                </w:rPr>
                <w:t xml:space="preserve">Caracterización territorial de la Hoya de Huesca/Plana de </w:t>
              </w:r>
              <w:proofErr w:type="spellStart"/>
              <w:r w:rsidRPr="005047FE">
                <w:rPr>
                  <w:b/>
                  <w:color w:val="FFFFFF" w:themeColor="background1"/>
                  <w:sz w:val="32"/>
                  <w:szCs w:val="32"/>
                </w:rPr>
                <w:t>Uesca</w:t>
              </w:r>
              <w:proofErr w:type="spellEnd"/>
              <w:r w:rsidRPr="005047FE">
                <w:rPr>
                  <w:b/>
                  <w:color w:val="FFFFFF" w:themeColor="background1"/>
                  <w:sz w:val="32"/>
                  <w:szCs w:val="32"/>
                </w:rPr>
                <w:t>. Asociación para el Desarrollo Rural Comarcal de la Hoya de Huesca (A</w:t>
              </w:r>
              <w:r>
                <w:rPr>
                  <w:b/>
                  <w:color w:val="FFFFFF" w:themeColor="background1"/>
                  <w:sz w:val="32"/>
                  <w:szCs w:val="32"/>
                </w:rPr>
                <w:t>DESHO</w:t>
              </w:r>
              <w:r w:rsidRPr="005047FE">
                <w:rPr>
                  <w:b/>
                  <w:color w:val="FFFFFF" w:themeColor="background1"/>
                  <w:sz w:val="32"/>
                  <w:szCs w:val="32"/>
                </w:rPr>
                <w:t>)</w:t>
              </w:r>
            </w:p>
          </w:sdtContent>
        </w:sdt>
        <w:p w:rsidR="005047FE" w:rsidRDefault="005047FE">
          <w:pPr>
            <w:jc w:val="right"/>
            <w:rPr>
              <w:b/>
              <w:color w:val="000000" w:themeColor="text1"/>
              <w:sz w:val="32"/>
              <w:szCs w:val="32"/>
            </w:rPr>
          </w:pPr>
        </w:p>
        <w:p w:rsidR="005047FE" w:rsidRPr="005047FE" w:rsidRDefault="005047FE" w:rsidP="005047FE">
          <w:pPr>
            <w:jc w:val="center"/>
            <w:rPr>
              <w:b/>
              <w:color w:val="000000" w:themeColor="text1"/>
              <w:sz w:val="32"/>
              <w:szCs w:val="32"/>
            </w:rPr>
          </w:pPr>
        </w:p>
        <w:p w:rsidR="005047FE" w:rsidRDefault="005047FE">
          <w:pPr>
            <w:rPr>
              <w:noProof/>
              <w:lang w:eastAsia="es-ES"/>
            </w:rPr>
          </w:pPr>
        </w:p>
        <w:p w:rsidR="005047FE" w:rsidRDefault="005047FE">
          <w:pPr>
            <w:rPr>
              <w:noProof/>
              <w:lang w:eastAsia="es-ES"/>
            </w:rPr>
          </w:pPr>
          <w:r>
            <w:rPr>
              <w:noProof/>
              <w:lang w:eastAsia="es-ES"/>
            </w:rPr>
            <w:drawing>
              <wp:inline distT="0" distB="0" distL="0" distR="0" wp14:anchorId="06ED4CA9" wp14:editId="58A2A963">
                <wp:extent cx="5400040" cy="4662116"/>
                <wp:effectExtent l="0" t="0" r="0" b="5715"/>
                <wp:docPr id="1" name="Imagen 1" descr="http://aragonrural.org/wp-content/uploads/2010/07/mapa-hues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agonrural.org/wp-content/uploads/2010/07/mapa-huesc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662116"/>
                        </a:xfrm>
                        <a:prstGeom prst="rect">
                          <a:avLst/>
                        </a:prstGeom>
                        <a:noFill/>
                        <a:ln>
                          <a:noFill/>
                        </a:ln>
                      </pic:spPr>
                    </pic:pic>
                  </a:graphicData>
                </a:graphic>
              </wp:inline>
            </w:drawing>
          </w:r>
        </w:p>
        <w:p w:rsidR="005047FE" w:rsidRDefault="005047FE">
          <w:pPr>
            <w:rPr>
              <w:noProof/>
              <w:lang w:eastAsia="es-ES"/>
            </w:rPr>
          </w:pPr>
        </w:p>
        <w:tbl>
          <w:tblPr>
            <w:tblpPr w:leftFromText="187" w:rightFromText="187" w:vertAnchor="page" w:horzAnchor="page" w:tblpX="1" w:tblpY="15121"/>
            <w:tblOverlap w:val="never"/>
            <w:tblW w:w="0" w:type="auto"/>
            <w:tblLook w:val="04A0" w:firstRow="1" w:lastRow="0" w:firstColumn="1" w:lastColumn="0" w:noHBand="0" w:noVBand="1"/>
          </w:tblPr>
          <w:tblGrid>
            <w:gridCol w:w="2172"/>
          </w:tblGrid>
          <w:tr w:rsidR="006815BA" w:rsidTr="006815BA">
            <w:trPr>
              <w:trHeight w:val="652"/>
            </w:trPr>
            <w:tc>
              <w:tcPr>
                <w:tcW w:w="2172" w:type="dxa"/>
              </w:tcPr>
              <w:p w:rsidR="006815BA" w:rsidRPr="005047FE" w:rsidRDefault="006815BA" w:rsidP="006815BA">
                <w:pPr>
                  <w:pStyle w:val="Sinespaciado"/>
                  <w:jc w:val="right"/>
                  <w:rPr>
                    <w:b/>
                    <w:color w:val="000000" w:themeColor="text1"/>
                    <w:sz w:val="32"/>
                    <w:szCs w:val="32"/>
                  </w:rPr>
                </w:pPr>
                <w:r w:rsidRPr="005047FE">
                  <w:rPr>
                    <w:b/>
                    <w:color w:val="000000" w:themeColor="text1"/>
                    <w:sz w:val="32"/>
                    <w:szCs w:val="32"/>
                  </w:rPr>
                  <w:t>RADR</w:t>
                </w:r>
              </w:p>
            </w:tc>
          </w:tr>
        </w:tbl>
        <w:p w:rsidR="005047FE" w:rsidRDefault="005047FE">
          <w:pPr>
            <w:rPr>
              <w:noProof/>
              <w:lang w:eastAsia="es-ES"/>
            </w:rPr>
          </w:pPr>
        </w:p>
        <w:p w:rsidR="005047FE" w:rsidRDefault="005047FE">
          <w:pPr>
            <w:rPr>
              <w:noProof/>
              <w:lang w:eastAsia="es-ES"/>
            </w:rPr>
          </w:pPr>
        </w:p>
        <w:p w:rsidR="006815BA" w:rsidRDefault="006815BA">
          <w:pPr>
            <w:rPr>
              <w:noProof/>
              <w:lang w:eastAsia="es-ES"/>
            </w:rPr>
          </w:pPr>
        </w:p>
        <w:p w:rsidR="00425194" w:rsidRDefault="006815BA">
          <w:pPr>
            <w:rPr>
              <w:noProof/>
              <w:lang w:eastAsia="es-ES"/>
            </w:rPr>
          </w:pPr>
          <w:r>
            <w:rPr>
              <w:noProof/>
              <w:lang w:eastAsia="es-ES"/>
            </w:rPr>
            <mc:AlternateContent>
              <mc:Choice Requires="wps">
                <w:drawing>
                  <wp:anchor distT="0" distB="0" distL="114300" distR="114300" simplePos="0" relativeHeight="251661312" behindDoc="0" locked="0" layoutInCell="1" allowOverlap="1" wp14:anchorId="73492B6E" wp14:editId="59140D73">
                    <wp:simplePos x="0" y="0"/>
                    <wp:positionH relativeFrom="column">
                      <wp:posOffset>10160</wp:posOffset>
                    </wp:positionH>
                    <wp:positionV relativeFrom="paragraph">
                      <wp:posOffset>-171450</wp:posOffset>
                    </wp:positionV>
                    <wp:extent cx="1600200" cy="434340"/>
                    <wp:effectExtent l="76200" t="38100" r="95250" b="118110"/>
                    <wp:wrapNone/>
                    <wp:docPr id="4" name="4 Rectángulo redondeado"/>
                    <wp:cNvGraphicFramePr/>
                    <a:graphic xmlns:a="http://schemas.openxmlformats.org/drawingml/2006/main">
                      <a:graphicData uri="http://schemas.microsoft.com/office/word/2010/wordprocessingShape">
                        <wps:wsp>
                          <wps:cNvSpPr/>
                          <wps:spPr>
                            <a:xfrm>
                              <a:off x="0" y="0"/>
                              <a:ext cx="1600200" cy="43434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56525A" w:rsidRDefault="0056525A" w:rsidP="00425194">
                                <w:pPr>
                                  <w:jc w:val="center"/>
                                  <w:rPr>
                                    <w:b/>
                                    <w:color w:val="FFFFFF" w:themeColor="background1"/>
                                    <w:sz w:val="28"/>
                                    <w:szCs w:val="28"/>
                                  </w:rPr>
                                </w:pPr>
                                <w:r w:rsidRPr="0056525A">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margin-left:.8pt;margin-top:-13.5pt;width:126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" fillcolor="#5f497a [2407]" stroked="f" strokeweight=".25pt">
                    <v:shadow on="t" color="black" opacity="20971f" offset="0,2.2pt"/>
                    <v:textbox>
                      <w:txbxContent>
                        <w:p w:rsidR="00425194" w:rsidRPr="0056525A" w:rsidRDefault="0056525A" w:rsidP="00425194">
                          <w:pPr>
                            <w:jc w:val="center"/>
                            <w:rPr>
                              <w:b/>
                              <w:color w:val="FFFFFF" w:themeColor="background1"/>
                              <w:sz w:val="28"/>
                              <w:szCs w:val="28"/>
                            </w:rPr>
                          </w:pPr>
                          <w:r w:rsidRPr="0056525A">
                            <w:rPr>
                              <w:b/>
                              <w:color w:val="FFFFFF" w:themeColor="background1"/>
                              <w:sz w:val="28"/>
                              <w:szCs w:val="28"/>
                            </w:rPr>
                            <w:t>DEMOGRAFÍA</w:t>
                          </w:r>
                        </w:p>
                      </w:txbxContent>
                    </v:textbox>
                  </v:roundrect>
                </w:pict>
              </mc:Fallback>
            </mc:AlternateContent>
          </w:r>
        </w:p>
        <w:p w:rsidR="00425194" w:rsidRDefault="00425194">
          <w:pPr>
            <w:rPr>
              <w:noProof/>
              <w:lang w:eastAsia="es-ES"/>
            </w:rPr>
          </w:pPr>
          <w:r>
            <w:rPr>
              <w:noProof/>
              <w:lang w:eastAsia="es-ES"/>
            </w:rPr>
            <w:drawing>
              <wp:inline distT="0" distB="0" distL="0" distR="0" wp14:anchorId="7154E398" wp14:editId="60AC30DB">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bl>
          <w:tblPr>
            <w:tblStyle w:val="Listaclara-nfasis4"/>
            <w:tblpPr w:leftFromText="141" w:rightFromText="141" w:vertAnchor="text" w:horzAnchor="margin" w:tblpXSpec="center" w:tblpY="421"/>
            <w:tblW w:w="7905" w:type="dxa"/>
            <w:tblLook w:val="04A0" w:firstRow="1" w:lastRow="0" w:firstColumn="1" w:lastColumn="0" w:noHBand="0" w:noVBand="1"/>
          </w:tblPr>
          <w:tblGrid>
            <w:gridCol w:w="2760"/>
            <w:gridCol w:w="1420"/>
            <w:gridCol w:w="1200"/>
            <w:gridCol w:w="1120"/>
            <w:gridCol w:w="1405"/>
          </w:tblGrid>
          <w:tr w:rsidR="005F081D" w:rsidRPr="00E5117D" w:rsidTr="00EE76F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60" w:type="dxa"/>
                <w:noWrap/>
                <w:hideMark/>
              </w:tcPr>
              <w:p w:rsidR="005F081D" w:rsidRPr="00E5117D" w:rsidRDefault="005F081D" w:rsidP="005F081D">
                <w:pPr>
                  <w:jc w:val="center"/>
                  <w:rPr>
                    <w:rFonts w:ascii="Calibri" w:eastAsia="Times New Roman" w:hAnsi="Calibri" w:cs="Times New Roman"/>
                    <w:b w:val="0"/>
                    <w:bCs w:val="0"/>
                    <w:sz w:val="24"/>
                    <w:szCs w:val="24"/>
                    <w:lang w:eastAsia="es-ES"/>
                  </w:rPr>
                </w:pPr>
                <w:r w:rsidRPr="00E5117D">
                  <w:rPr>
                    <w:rFonts w:ascii="Calibri" w:eastAsia="Times New Roman" w:hAnsi="Calibri" w:cs="Times New Roman"/>
                    <w:sz w:val="24"/>
                    <w:szCs w:val="24"/>
                    <w:lang w:eastAsia="es-ES"/>
                  </w:rPr>
                  <w:t>GRUPO</w:t>
                </w:r>
              </w:p>
            </w:tc>
            <w:tc>
              <w:tcPr>
                <w:tcW w:w="1420" w:type="dxa"/>
                <w:noWrap/>
                <w:hideMark/>
              </w:tcPr>
              <w:p w:rsidR="005F081D" w:rsidRPr="00E5117D" w:rsidRDefault="005F081D" w:rsidP="005F081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4"/>
                    <w:szCs w:val="24"/>
                    <w:lang w:eastAsia="es-ES"/>
                  </w:rPr>
                </w:pPr>
                <w:r w:rsidRPr="00E5117D">
                  <w:rPr>
                    <w:rFonts w:ascii="Calibri" w:eastAsia="Times New Roman" w:hAnsi="Calibri" w:cs="Times New Roman"/>
                    <w:sz w:val="24"/>
                    <w:szCs w:val="24"/>
                    <w:lang w:eastAsia="es-ES"/>
                  </w:rPr>
                  <w:t>ADESHO</w:t>
                </w:r>
              </w:p>
            </w:tc>
            <w:tc>
              <w:tcPr>
                <w:tcW w:w="1200" w:type="dxa"/>
                <w:noWrap/>
                <w:hideMark/>
              </w:tcPr>
              <w:p w:rsidR="005F081D" w:rsidRPr="00E5117D" w:rsidRDefault="005F081D" w:rsidP="005F081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p>
            </w:tc>
            <w:tc>
              <w:tcPr>
                <w:tcW w:w="1120" w:type="dxa"/>
                <w:noWrap/>
                <w:hideMark/>
              </w:tcPr>
              <w:p w:rsidR="005F081D" w:rsidRPr="00E5117D" w:rsidRDefault="005F081D" w:rsidP="005F081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p>
            </w:tc>
            <w:tc>
              <w:tcPr>
                <w:tcW w:w="1405" w:type="dxa"/>
                <w:noWrap/>
                <w:hideMark/>
              </w:tcPr>
              <w:p w:rsidR="005F081D" w:rsidRPr="00E5117D" w:rsidRDefault="005F081D" w:rsidP="005F081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p>
            </w:tc>
          </w:tr>
          <w:tr w:rsidR="005F081D" w:rsidRPr="00E5117D" w:rsidTr="00EE76F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60" w:type="dxa"/>
                <w:vMerge w:val="restart"/>
                <w:hideMark/>
              </w:tcPr>
              <w:p w:rsidR="005F081D" w:rsidRPr="00E5117D" w:rsidRDefault="005F081D" w:rsidP="005F081D">
                <w:pPr>
                  <w:jc w:val="center"/>
                  <w:rPr>
                    <w:rFonts w:ascii="Calibri" w:eastAsia="Times New Roman" w:hAnsi="Calibri" w:cs="Times New Roman"/>
                    <w:b w:val="0"/>
                    <w:bCs w:val="0"/>
                    <w:sz w:val="24"/>
                    <w:szCs w:val="24"/>
                    <w:lang w:eastAsia="es-ES"/>
                  </w:rPr>
                </w:pPr>
                <w:r w:rsidRPr="00E5117D">
                  <w:rPr>
                    <w:rFonts w:ascii="Calibri" w:eastAsia="Times New Roman" w:hAnsi="Calibri" w:cs="Times New Roman"/>
                    <w:sz w:val="24"/>
                    <w:szCs w:val="24"/>
                    <w:lang w:eastAsia="es-ES"/>
                  </w:rPr>
                  <w:t>Clasificación zona</w:t>
                </w:r>
              </w:p>
            </w:tc>
            <w:tc>
              <w:tcPr>
                <w:tcW w:w="2620" w:type="dxa"/>
                <w:gridSpan w:val="2"/>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4"/>
                    <w:szCs w:val="24"/>
                    <w:lang w:eastAsia="es-ES"/>
                  </w:rPr>
                </w:pPr>
                <w:r>
                  <w:rPr>
                    <w:rFonts w:ascii="Calibri" w:eastAsia="Times New Roman" w:hAnsi="Calibri" w:cs="Times New Roman"/>
                    <w:b/>
                    <w:bCs/>
                    <w:sz w:val="24"/>
                    <w:szCs w:val="24"/>
                    <w:lang w:eastAsia="es-ES"/>
                  </w:rPr>
                  <w:t>Població</w:t>
                </w:r>
                <w:r w:rsidRPr="00E5117D">
                  <w:rPr>
                    <w:rFonts w:ascii="Calibri" w:eastAsia="Times New Roman" w:hAnsi="Calibri" w:cs="Times New Roman"/>
                    <w:b/>
                    <w:bCs/>
                    <w:sz w:val="24"/>
                    <w:szCs w:val="24"/>
                    <w:lang w:eastAsia="es-ES"/>
                  </w:rPr>
                  <w:t>n</w:t>
                </w:r>
              </w:p>
            </w:tc>
            <w:tc>
              <w:tcPr>
                <w:tcW w:w="2525" w:type="dxa"/>
                <w:gridSpan w:val="2"/>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4"/>
                    <w:szCs w:val="24"/>
                    <w:lang w:eastAsia="es-ES"/>
                  </w:rPr>
                </w:pPr>
                <w:r>
                  <w:rPr>
                    <w:rFonts w:ascii="Calibri" w:eastAsia="Times New Roman" w:hAnsi="Calibri" w:cs="Times New Roman"/>
                    <w:b/>
                    <w:bCs/>
                    <w:sz w:val="24"/>
                    <w:szCs w:val="24"/>
                    <w:lang w:eastAsia="es-ES"/>
                  </w:rPr>
                  <w:t>L</w:t>
                </w:r>
                <w:r w:rsidRPr="00E5117D">
                  <w:rPr>
                    <w:rFonts w:ascii="Calibri" w:eastAsia="Times New Roman" w:hAnsi="Calibri" w:cs="Times New Roman"/>
                    <w:b/>
                    <w:bCs/>
                    <w:sz w:val="24"/>
                    <w:szCs w:val="24"/>
                    <w:lang w:eastAsia="es-ES"/>
                  </w:rPr>
                  <w:t>ocalidades</w:t>
                </w:r>
              </w:p>
            </w:tc>
          </w:tr>
          <w:tr w:rsidR="005F081D" w:rsidRPr="00E5117D" w:rsidTr="00EE76FE">
            <w:trPr>
              <w:trHeight w:val="324"/>
            </w:trPr>
            <w:tc>
              <w:tcPr>
                <w:cnfStyle w:val="001000000000" w:firstRow="0" w:lastRow="0" w:firstColumn="1" w:lastColumn="0" w:oddVBand="0" w:evenVBand="0" w:oddHBand="0" w:evenHBand="0" w:firstRowFirstColumn="0" w:firstRowLastColumn="0" w:lastRowFirstColumn="0" w:lastRowLastColumn="0"/>
                <w:tcW w:w="2760" w:type="dxa"/>
                <w:vMerge/>
                <w:hideMark/>
              </w:tcPr>
              <w:p w:rsidR="005F081D" w:rsidRPr="00E5117D" w:rsidRDefault="005F081D" w:rsidP="005F081D">
                <w:pPr>
                  <w:rPr>
                    <w:rFonts w:ascii="Calibri" w:eastAsia="Times New Roman" w:hAnsi="Calibri" w:cs="Times New Roman"/>
                    <w:b w:val="0"/>
                    <w:bCs w:val="0"/>
                    <w:sz w:val="24"/>
                    <w:szCs w:val="24"/>
                    <w:lang w:eastAsia="es-ES"/>
                  </w:rPr>
                </w:pPr>
              </w:p>
            </w:tc>
            <w:tc>
              <w:tcPr>
                <w:tcW w:w="142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eastAsia="es-ES"/>
                  </w:rPr>
                </w:pPr>
                <w:r w:rsidRPr="00E5117D">
                  <w:rPr>
                    <w:rFonts w:ascii="Calibri" w:eastAsia="Times New Roman" w:hAnsi="Calibri" w:cs="Times New Roman"/>
                    <w:b/>
                    <w:bCs/>
                    <w:sz w:val="24"/>
                    <w:szCs w:val="24"/>
                    <w:lang w:eastAsia="es-ES"/>
                  </w:rPr>
                  <w:t>nº</w:t>
                </w:r>
              </w:p>
            </w:tc>
            <w:tc>
              <w:tcPr>
                <w:tcW w:w="120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eastAsia="es-ES"/>
                  </w:rPr>
                </w:pPr>
                <w:r w:rsidRPr="00E5117D">
                  <w:rPr>
                    <w:rFonts w:ascii="Calibri" w:eastAsia="Times New Roman" w:hAnsi="Calibri" w:cs="Times New Roman"/>
                    <w:b/>
                    <w:bCs/>
                    <w:sz w:val="24"/>
                    <w:szCs w:val="24"/>
                    <w:lang w:eastAsia="es-ES"/>
                  </w:rPr>
                  <w:t>%</w:t>
                </w:r>
              </w:p>
            </w:tc>
            <w:tc>
              <w:tcPr>
                <w:tcW w:w="112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eastAsia="es-ES"/>
                  </w:rPr>
                </w:pPr>
                <w:r w:rsidRPr="00E5117D">
                  <w:rPr>
                    <w:rFonts w:ascii="Calibri" w:eastAsia="Times New Roman" w:hAnsi="Calibri" w:cs="Times New Roman"/>
                    <w:b/>
                    <w:bCs/>
                    <w:sz w:val="24"/>
                    <w:szCs w:val="24"/>
                    <w:lang w:eastAsia="es-ES"/>
                  </w:rPr>
                  <w:t>nº</w:t>
                </w:r>
              </w:p>
            </w:tc>
            <w:tc>
              <w:tcPr>
                <w:tcW w:w="1405"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eastAsia="es-ES"/>
                  </w:rPr>
                </w:pPr>
                <w:r w:rsidRPr="00E5117D">
                  <w:rPr>
                    <w:rFonts w:ascii="Calibri" w:eastAsia="Times New Roman" w:hAnsi="Calibri" w:cs="Times New Roman"/>
                    <w:b/>
                    <w:bCs/>
                    <w:sz w:val="24"/>
                    <w:szCs w:val="24"/>
                    <w:lang w:eastAsia="es-ES"/>
                  </w:rPr>
                  <w:t>%</w:t>
                </w:r>
              </w:p>
            </w:tc>
          </w:tr>
          <w:tr w:rsidR="005F081D" w:rsidRPr="00E5117D" w:rsidTr="00EE76F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noWrap/>
                <w:hideMark/>
              </w:tcPr>
              <w:p w:rsidR="005F081D" w:rsidRPr="00E5117D" w:rsidRDefault="005F081D" w:rsidP="005F081D">
                <w:pPr>
                  <w:jc w:val="center"/>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Zona rural (&lt;2000)</w:t>
                </w:r>
              </w:p>
            </w:tc>
            <w:tc>
              <w:tcPr>
                <w:tcW w:w="1420"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13348</w:t>
                </w:r>
              </w:p>
            </w:tc>
            <w:tc>
              <w:tcPr>
                <w:tcW w:w="1200"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84,15%</w:t>
                </w:r>
              </w:p>
            </w:tc>
            <w:tc>
              <w:tcPr>
                <w:tcW w:w="1120"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38</w:t>
                </w:r>
              </w:p>
            </w:tc>
            <w:tc>
              <w:tcPr>
                <w:tcW w:w="1405"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97,44%</w:t>
                </w:r>
              </w:p>
            </w:tc>
          </w:tr>
          <w:tr w:rsidR="005F081D" w:rsidRPr="00E5117D" w:rsidTr="00EE76FE">
            <w:trPr>
              <w:trHeight w:val="312"/>
            </w:trPr>
            <w:tc>
              <w:tcPr>
                <w:cnfStyle w:val="001000000000" w:firstRow="0" w:lastRow="0" w:firstColumn="1" w:lastColumn="0" w:oddVBand="0" w:evenVBand="0" w:oddHBand="0" w:evenHBand="0" w:firstRowFirstColumn="0" w:firstRowLastColumn="0" w:lastRowFirstColumn="0" w:lastRowLastColumn="0"/>
                <w:tcW w:w="2760" w:type="dxa"/>
                <w:noWrap/>
                <w:hideMark/>
              </w:tcPr>
              <w:p w:rsidR="005F081D" w:rsidRPr="00E5117D" w:rsidRDefault="005F081D" w:rsidP="005F081D">
                <w:pPr>
                  <w:jc w:val="center"/>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Zona intermedia (&lt; 10000)</w:t>
                </w:r>
              </w:p>
            </w:tc>
            <w:tc>
              <w:tcPr>
                <w:tcW w:w="142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2514</w:t>
                </w:r>
              </w:p>
            </w:tc>
            <w:tc>
              <w:tcPr>
                <w:tcW w:w="120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15,85%</w:t>
                </w:r>
              </w:p>
            </w:tc>
            <w:tc>
              <w:tcPr>
                <w:tcW w:w="112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1</w:t>
                </w:r>
              </w:p>
            </w:tc>
            <w:tc>
              <w:tcPr>
                <w:tcW w:w="1405"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2,56%</w:t>
                </w:r>
              </w:p>
            </w:tc>
          </w:tr>
          <w:tr w:rsidR="005F081D" w:rsidRPr="00E5117D" w:rsidTr="00EE76F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noWrap/>
                <w:hideMark/>
              </w:tcPr>
              <w:p w:rsidR="005F081D" w:rsidRPr="00E5117D" w:rsidRDefault="005F081D" w:rsidP="005F081D">
                <w:pPr>
                  <w:jc w:val="center"/>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Zona urbana (&gt; 10000)</w:t>
                </w:r>
              </w:p>
            </w:tc>
            <w:tc>
              <w:tcPr>
                <w:tcW w:w="1420"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0</w:t>
                </w:r>
              </w:p>
            </w:tc>
            <w:tc>
              <w:tcPr>
                <w:tcW w:w="1200"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0,00%</w:t>
                </w:r>
              </w:p>
            </w:tc>
            <w:tc>
              <w:tcPr>
                <w:tcW w:w="1120"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0</w:t>
                </w:r>
              </w:p>
            </w:tc>
            <w:tc>
              <w:tcPr>
                <w:tcW w:w="1405" w:type="dxa"/>
                <w:noWrap/>
                <w:hideMark/>
              </w:tcPr>
              <w:p w:rsidR="005F081D" w:rsidRPr="00E5117D" w:rsidRDefault="005F081D" w:rsidP="005F0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0,00%</w:t>
                </w:r>
              </w:p>
            </w:tc>
          </w:tr>
          <w:tr w:rsidR="005F081D" w:rsidRPr="00E5117D" w:rsidTr="00EE76FE">
            <w:trPr>
              <w:trHeight w:val="324"/>
            </w:trPr>
            <w:tc>
              <w:tcPr>
                <w:cnfStyle w:val="001000000000" w:firstRow="0" w:lastRow="0" w:firstColumn="1" w:lastColumn="0" w:oddVBand="0" w:evenVBand="0" w:oddHBand="0" w:evenHBand="0" w:firstRowFirstColumn="0" w:firstRowLastColumn="0" w:lastRowFirstColumn="0" w:lastRowLastColumn="0"/>
                <w:tcW w:w="2760" w:type="dxa"/>
                <w:noWrap/>
                <w:hideMark/>
              </w:tcPr>
              <w:p w:rsidR="005F081D" w:rsidRPr="00E5117D" w:rsidRDefault="005F081D" w:rsidP="005F081D">
                <w:pPr>
                  <w:jc w:val="center"/>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Total</w:t>
                </w:r>
              </w:p>
            </w:tc>
            <w:tc>
              <w:tcPr>
                <w:tcW w:w="142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15862</w:t>
                </w:r>
              </w:p>
            </w:tc>
            <w:tc>
              <w:tcPr>
                <w:tcW w:w="120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100,00%</w:t>
                </w:r>
              </w:p>
            </w:tc>
            <w:tc>
              <w:tcPr>
                <w:tcW w:w="1120"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39</w:t>
                </w:r>
              </w:p>
            </w:tc>
            <w:tc>
              <w:tcPr>
                <w:tcW w:w="1405" w:type="dxa"/>
                <w:noWrap/>
                <w:hideMark/>
              </w:tcPr>
              <w:p w:rsidR="005F081D" w:rsidRPr="00E5117D" w:rsidRDefault="005F081D" w:rsidP="005F0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ES"/>
                  </w:rPr>
                </w:pPr>
                <w:r w:rsidRPr="00E5117D">
                  <w:rPr>
                    <w:rFonts w:ascii="Calibri" w:eastAsia="Times New Roman" w:hAnsi="Calibri" w:cs="Times New Roman"/>
                    <w:sz w:val="24"/>
                    <w:szCs w:val="24"/>
                    <w:lang w:eastAsia="es-ES"/>
                  </w:rPr>
                  <w:t>100,00%</w:t>
                </w:r>
              </w:p>
            </w:tc>
          </w:tr>
        </w:tbl>
        <w:p w:rsidR="005F081D" w:rsidRDefault="005F081D">
          <w:pPr>
            <w:rPr>
              <w:noProof/>
              <w:lang w:eastAsia="es-ES"/>
            </w:rPr>
          </w:pPr>
        </w:p>
        <w:p w:rsidR="005F081D" w:rsidRPr="000E24E8" w:rsidRDefault="005F081D" w:rsidP="005F081D">
          <w:pPr>
            <w:pStyle w:val="Prrafodelista"/>
            <w:numPr>
              <w:ilvl w:val="0"/>
              <w:numId w:val="1"/>
            </w:numPr>
            <w:rPr>
              <w:b/>
              <w:noProof/>
              <w:sz w:val="24"/>
              <w:szCs w:val="24"/>
              <w:lang w:eastAsia="es-ES"/>
            </w:rPr>
          </w:pPr>
          <w:r w:rsidRPr="000E24E8">
            <w:rPr>
              <w:b/>
              <w:noProof/>
              <w:sz w:val="24"/>
              <w:szCs w:val="24"/>
              <w:lang w:eastAsia="es-ES"/>
            </w:rPr>
            <w:t>Pirámide de población:</w:t>
          </w:r>
        </w:p>
        <w:p w:rsidR="005F081D" w:rsidRDefault="005F081D" w:rsidP="005F081D">
          <w:pPr>
            <w:pStyle w:val="Prrafodelista"/>
            <w:rPr>
              <w:noProof/>
              <w:lang w:eastAsia="es-ES"/>
            </w:rPr>
          </w:pPr>
        </w:p>
        <w:p w:rsidR="005F081D" w:rsidRDefault="005F081D" w:rsidP="00EE76FE">
          <w:pPr>
            <w:pStyle w:val="Prrafodelista"/>
            <w:ind w:left="284"/>
            <w:rPr>
              <w:noProof/>
              <w:lang w:eastAsia="es-ES"/>
            </w:rPr>
          </w:pPr>
          <w:r>
            <w:rPr>
              <w:noProof/>
              <w:lang w:eastAsia="es-ES"/>
            </w:rPr>
            <w:drawing>
              <wp:inline distT="0" distB="0" distL="0" distR="0" wp14:anchorId="48DB3E77" wp14:editId="1DF82D34">
                <wp:extent cx="5273040" cy="3467100"/>
                <wp:effectExtent l="0" t="0" r="2286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47FE" w:rsidRDefault="005047FE">
          <w:pPr>
            <w:rPr>
              <w:noProof/>
              <w:lang w:eastAsia="es-ES"/>
            </w:rPr>
          </w:pPr>
        </w:p>
        <w:p w:rsidR="00533C22" w:rsidRDefault="00533C22" w:rsidP="00533C22">
          <w:pPr>
            <w:pStyle w:val="Prrafodelista"/>
            <w:numPr>
              <w:ilvl w:val="0"/>
              <w:numId w:val="1"/>
            </w:numPr>
            <w:rPr>
              <w:b/>
              <w:sz w:val="24"/>
              <w:szCs w:val="24"/>
            </w:rPr>
          </w:pPr>
          <w:r w:rsidRPr="00533C22">
            <w:rPr>
              <w:b/>
              <w:sz w:val="24"/>
              <w:szCs w:val="24"/>
            </w:rPr>
            <w:lastRenderedPageBreak/>
            <w:t>Evolución de la población (1900-2013):</w:t>
          </w:r>
        </w:p>
        <w:p w:rsidR="00533C22" w:rsidRDefault="00533C22" w:rsidP="00533C22">
          <w:pPr>
            <w:pStyle w:val="Prrafodelista"/>
            <w:rPr>
              <w:b/>
              <w:sz w:val="24"/>
              <w:szCs w:val="24"/>
            </w:rPr>
          </w:pPr>
        </w:p>
        <w:p w:rsidR="00533C22" w:rsidRDefault="00533C22" w:rsidP="00533C22">
          <w:pPr>
            <w:pStyle w:val="Prrafodelista"/>
            <w:rPr>
              <w:b/>
              <w:sz w:val="24"/>
              <w:szCs w:val="24"/>
            </w:rPr>
          </w:pPr>
          <w:r>
            <w:rPr>
              <w:noProof/>
              <w:lang w:eastAsia="es-ES"/>
            </w:rPr>
            <w:drawing>
              <wp:inline distT="0" distB="0" distL="0" distR="0" wp14:anchorId="54EAF2CA" wp14:editId="5471137C">
                <wp:extent cx="5402580" cy="2849880"/>
                <wp:effectExtent l="0" t="0" r="26670" b="266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3C22" w:rsidRPr="00533C22" w:rsidRDefault="00533C22" w:rsidP="00533C22">
          <w:pPr>
            <w:pStyle w:val="Prrafodelista"/>
            <w:jc w:val="both"/>
          </w:pPr>
        </w:p>
        <w:p w:rsidR="00533C22" w:rsidRDefault="00533C22" w:rsidP="00533C22">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533C22">
          <w:pPr>
            <w:pStyle w:val="Prrafodelista"/>
            <w:jc w:val="both"/>
            <w:rPr>
              <w:sz w:val="24"/>
              <w:szCs w:val="24"/>
            </w:rPr>
          </w:pPr>
        </w:p>
        <w:p w:rsidR="00533C22" w:rsidRDefault="00533C22" w:rsidP="00533C22">
          <w:pPr>
            <w:pStyle w:val="Prrafodelista"/>
            <w:jc w:val="center"/>
            <w:rPr>
              <w:sz w:val="24"/>
              <w:szCs w:val="24"/>
            </w:rPr>
          </w:pPr>
          <w:r w:rsidRPr="00C65FD7">
            <w:rPr>
              <w:noProof/>
              <w:lang w:eastAsia="es-ES"/>
            </w:rPr>
            <w:drawing>
              <wp:inline distT="0" distB="0" distL="0" distR="0" wp14:anchorId="11056FAA" wp14:editId="18998AA7">
                <wp:extent cx="5387830" cy="12954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298336"/>
                        </a:xfrm>
                        <a:prstGeom prst="rect">
                          <a:avLst/>
                        </a:prstGeom>
                        <a:noFill/>
                        <a:ln>
                          <a:noFill/>
                        </a:ln>
                      </pic:spPr>
                    </pic:pic>
                  </a:graphicData>
                </a:graphic>
              </wp:inline>
            </w:drawing>
          </w:r>
        </w:p>
        <w:p w:rsidR="00533C22" w:rsidRDefault="00533C22" w:rsidP="00533C22">
          <w:pPr>
            <w:pStyle w:val="Prrafodelista"/>
            <w:jc w:val="both"/>
            <w:rPr>
              <w:sz w:val="24"/>
              <w:szCs w:val="24"/>
            </w:rPr>
          </w:pPr>
        </w:p>
        <w:p w:rsidR="00533C22" w:rsidRPr="00B26632" w:rsidRDefault="00533C22" w:rsidP="00533C22">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533C22" w:rsidP="00533C22">
          <w:pPr>
            <w:pStyle w:val="Prrafodelista"/>
            <w:jc w:val="both"/>
            <w:rPr>
              <w:sz w:val="24"/>
              <w:szCs w:val="24"/>
            </w:rPr>
          </w:pPr>
        </w:p>
        <w:p w:rsidR="00533C22" w:rsidRDefault="00533C22" w:rsidP="00806DE7">
          <w:pPr>
            <w:pStyle w:val="Prrafodelista"/>
            <w:jc w:val="both"/>
            <w:rPr>
              <w:sz w:val="24"/>
              <w:szCs w:val="24"/>
            </w:rPr>
          </w:pPr>
          <w:r w:rsidRPr="00C65FD7">
            <w:rPr>
              <w:noProof/>
              <w:lang w:eastAsia="es-ES"/>
            </w:rPr>
            <w:drawing>
              <wp:inline distT="0" distB="0" distL="0" distR="0" wp14:anchorId="7401BA01" wp14:editId="0149A610">
                <wp:extent cx="5400040" cy="138598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385985"/>
                        </a:xfrm>
                        <a:prstGeom prst="rect">
                          <a:avLst/>
                        </a:prstGeom>
                        <a:noFill/>
                        <a:ln>
                          <a:noFill/>
                        </a:ln>
                      </pic:spPr>
                    </pic:pic>
                  </a:graphicData>
                </a:graphic>
              </wp:inline>
            </w:drawing>
          </w:r>
        </w:p>
        <w:p w:rsidR="00806DE7" w:rsidRPr="0092710E" w:rsidRDefault="00806DE7" w:rsidP="00806DE7">
          <w:pPr>
            <w:pStyle w:val="Prrafodelista"/>
            <w:jc w:val="both"/>
            <w:rPr>
              <w:sz w:val="24"/>
              <w:szCs w:val="24"/>
            </w:rPr>
          </w:pPr>
        </w:p>
        <w:p w:rsidR="00533C22" w:rsidRPr="00533C22" w:rsidRDefault="00533C22" w:rsidP="00533C22">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533C22">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533C22" w:rsidP="00533C22">
          <w:pPr>
            <w:pStyle w:val="Prrafodelista"/>
            <w:ind w:left="426"/>
            <w:jc w:val="both"/>
          </w:pPr>
          <w:r w:rsidRPr="00FC58FF">
            <w:rPr>
              <w:noProof/>
              <w:lang w:eastAsia="es-ES"/>
            </w:rPr>
            <w:drawing>
              <wp:inline distT="0" distB="0" distL="0" distR="0" wp14:anchorId="093F28F6" wp14:editId="571313F9">
                <wp:extent cx="5494020" cy="5181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0698" cy="519733"/>
                        </a:xfrm>
                        <a:prstGeom prst="rect">
                          <a:avLst/>
                        </a:prstGeom>
                        <a:noFill/>
                        <a:ln>
                          <a:noFill/>
                        </a:ln>
                      </pic:spPr>
                    </pic:pic>
                  </a:graphicData>
                </a:graphic>
              </wp:inline>
            </w:drawing>
          </w:r>
        </w:p>
        <w:p w:rsidR="00533C22" w:rsidRPr="00533C22" w:rsidRDefault="00533C22" w:rsidP="00533C22">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533C22" w:rsidP="00533C22">
          <w:pPr>
            <w:pStyle w:val="Prrafodelista"/>
            <w:ind w:left="426"/>
            <w:jc w:val="both"/>
            <w:rPr>
              <w:b/>
              <w:sz w:val="24"/>
              <w:szCs w:val="24"/>
            </w:rPr>
          </w:pPr>
          <w:r w:rsidRPr="00FC58FF">
            <w:rPr>
              <w:noProof/>
              <w:lang w:eastAsia="es-ES"/>
            </w:rPr>
            <w:drawing>
              <wp:inline distT="0" distB="0" distL="0" distR="0" wp14:anchorId="11F2108D" wp14:editId="0E71A394">
                <wp:extent cx="5494020" cy="5105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617" cy="510317"/>
                        </a:xfrm>
                        <a:prstGeom prst="rect">
                          <a:avLst/>
                        </a:prstGeom>
                        <a:noFill/>
                        <a:ln>
                          <a:noFill/>
                        </a:ln>
                      </pic:spPr>
                    </pic:pic>
                  </a:graphicData>
                </a:graphic>
              </wp:inline>
            </w:drawing>
          </w:r>
        </w:p>
        <w:p w:rsidR="00533C22" w:rsidRPr="00533C22" w:rsidRDefault="00533C22" w:rsidP="00533C22">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533C22" w:rsidP="00533C22">
          <w:pPr>
            <w:pStyle w:val="Prrafodelista"/>
            <w:ind w:left="426"/>
            <w:jc w:val="both"/>
            <w:rPr>
              <w:b/>
              <w:sz w:val="24"/>
              <w:szCs w:val="24"/>
            </w:rPr>
          </w:pPr>
          <w:r w:rsidRPr="009603C8">
            <w:rPr>
              <w:noProof/>
              <w:lang w:eastAsia="es-ES"/>
            </w:rPr>
            <w:drawing>
              <wp:inline distT="0" distB="0" distL="0" distR="0" wp14:anchorId="389D1AA4" wp14:editId="7E13D00E">
                <wp:extent cx="5494020" cy="4724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1617" cy="472233"/>
                        </a:xfrm>
                        <a:prstGeom prst="rect">
                          <a:avLst/>
                        </a:prstGeom>
                        <a:noFill/>
                        <a:ln>
                          <a:noFill/>
                        </a:ln>
                      </pic:spPr>
                    </pic:pic>
                  </a:graphicData>
                </a:graphic>
              </wp:inline>
            </w:drawing>
          </w:r>
        </w:p>
        <w:p w:rsidR="00533C22" w:rsidRDefault="00533C22" w:rsidP="00533C22">
          <w:pPr>
            <w:pStyle w:val="Prrafodelista"/>
            <w:ind w:left="426"/>
            <w:jc w:val="both"/>
            <w:rPr>
              <w:b/>
              <w:sz w:val="24"/>
              <w:szCs w:val="24"/>
            </w:rPr>
          </w:pPr>
        </w:p>
        <w:p w:rsidR="00533C22" w:rsidRDefault="00533C22" w:rsidP="00533C22">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533C22">
          <w:pPr>
            <w:pStyle w:val="Prrafodelista"/>
            <w:jc w:val="both"/>
            <w:rPr>
              <w:b/>
              <w:sz w:val="24"/>
              <w:szCs w:val="24"/>
            </w:rPr>
          </w:pPr>
        </w:p>
        <w:p w:rsidR="00533C22" w:rsidRPr="00533C22" w:rsidRDefault="00533C22" w:rsidP="00533C22">
          <w:pPr>
            <w:pStyle w:val="Prrafodelista"/>
            <w:jc w:val="center"/>
            <w:rPr>
              <w:b/>
              <w:sz w:val="24"/>
              <w:szCs w:val="24"/>
            </w:rPr>
          </w:pPr>
          <w:r>
            <w:rPr>
              <w:noProof/>
              <w:lang w:eastAsia="es-ES"/>
            </w:rPr>
            <w:drawing>
              <wp:inline distT="0" distB="0" distL="0" distR="0" wp14:anchorId="32B3207D" wp14:editId="1CF234BA">
                <wp:extent cx="4909841" cy="2318657"/>
                <wp:effectExtent l="38100" t="0" r="24130" b="2476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33C22" w:rsidRDefault="00533C22" w:rsidP="00195345">
          <w:pPr>
            <w:pStyle w:val="Prrafodelista"/>
            <w:ind w:left="567" w:right="-1" w:firstLine="142"/>
            <w:jc w:val="center"/>
            <w:rPr>
              <w:b/>
              <w:sz w:val="24"/>
              <w:szCs w:val="24"/>
            </w:rPr>
          </w:pPr>
          <w:r>
            <w:rPr>
              <w:noProof/>
              <w:lang w:eastAsia="es-ES"/>
            </w:rPr>
            <w:drawing>
              <wp:inline distT="0" distB="0" distL="0" distR="0" wp14:anchorId="5833D6FE" wp14:editId="57CBB54C">
                <wp:extent cx="4909841" cy="2286000"/>
                <wp:effectExtent l="38100" t="0" r="2413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4043" w:rsidRDefault="000B4043" w:rsidP="00533C22">
          <w:pPr>
            <w:pStyle w:val="Prrafodelista"/>
            <w:ind w:left="709" w:right="-285"/>
            <w:jc w:val="center"/>
            <w:rPr>
              <w:b/>
              <w:sz w:val="24"/>
              <w:szCs w:val="24"/>
            </w:rPr>
          </w:pPr>
        </w:p>
        <w:p w:rsidR="000B4043" w:rsidRDefault="000B4043" w:rsidP="00533C22">
          <w:pPr>
            <w:pStyle w:val="Prrafodelista"/>
            <w:ind w:left="709" w:right="-285"/>
            <w:jc w:val="center"/>
            <w:rPr>
              <w:b/>
              <w:sz w:val="24"/>
              <w:szCs w:val="24"/>
            </w:rPr>
          </w:pPr>
        </w:p>
        <w:p w:rsidR="000B4043" w:rsidRDefault="000B4043" w:rsidP="00533C22">
          <w:pPr>
            <w:pStyle w:val="Prrafodelista"/>
            <w:ind w:left="709" w:right="-285"/>
            <w:jc w:val="center"/>
            <w:rPr>
              <w:b/>
              <w:sz w:val="24"/>
              <w:szCs w:val="24"/>
            </w:rPr>
          </w:pPr>
        </w:p>
        <w:p w:rsidR="00806DE7" w:rsidRDefault="00806DE7" w:rsidP="00533C22">
          <w:pPr>
            <w:pStyle w:val="Prrafodelista"/>
            <w:ind w:left="709" w:right="-285"/>
            <w:jc w:val="center"/>
            <w:rPr>
              <w:b/>
              <w:sz w:val="24"/>
              <w:szCs w:val="24"/>
            </w:rPr>
          </w:pPr>
        </w:p>
        <w:p w:rsidR="00906EF5" w:rsidRPr="00187242" w:rsidRDefault="00906EF5" w:rsidP="00187242">
          <w:pPr>
            <w:pStyle w:val="Prrafodelista"/>
            <w:numPr>
              <w:ilvl w:val="0"/>
              <w:numId w:val="1"/>
            </w:numPr>
            <w:jc w:val="both"/>
            <w:rPr>
              <w:b/>
              <w:sz w:val="24"/>
              <w:szCs w:val="24"/>
            </w:rPr>
          </w:pPr>
          <w:r w:rsidRPr="00187242">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AA52B5" w:rsidRPr="00AA52B5" w:rsidTr="00AA52B5">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Tasa de masculinidad</w:t>
                </w:r>
              </w:p>
            </w:tc>
            <w:tc>
              <w:tcPr>
                <w:tcW w:w="2420" w:type="dxa"/>
                <w:vMerge w:val="restart"/>
                <w:noWrap/>
                <w:hideMark/>
              </w:tcPr>
              <w:p w:rsidR="00AA52B5" w:rsidRPr="00AA52B5" w:rsidRDefault="00AA52B5" w:rsidP="00AA52B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AA52B5">
                  <w:rPr>
                    <w:rFonts w:eastAsia="Times New Roman" w:cs="Times New Roman"/>
                    <w:sz w:val="20"/>
                    <w:szCs w:val="20"/>
                    <w:lang w:eastAsia="es-ES"/>
                  </w:rPr>
                  <w:t>Aragón</w:t>
                </w:r>
              </w:p>
            </w:tc>
            <w:tc>
              <w:tcPr>
                <w:tcW w:w="2800" w:type="dxa"/>
                <w:vMerge w:val="restart"/>
                <w:noWrap/>
                <w:hideMark/>
              </w:tcPr>
              <w:p w:rsidR="00AA52B5" w:rsidRPr="00AA52B5" w:rsidRDefault="00AA52B5" w:rsidP="00AA52B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AA52B5">
                  <w:rPr>
                    <w:rFonts w:eastAsia="Times New Roman" w:cs="Times New Roman"/>
                    <w:sz w:val="20"/>
                    <w:szCs w:val="20"/>
                    <w:lang w:eastAsia="es-ES"/>
                  </w:rPr>
                  <w:t>GAL</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vMerge/>
                <w:hideMark/>
              </w:tcPr>
              <w:p w:rsidR="00AA52B5" w:rsidRPr="00AA52B5" w:rsidRDefault="00AA52B5" w:rsidP="00AA52B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A52B5" w:rsidRPr="00AA52B5" w:rsidRDefault="00AA52B5" w:rsidP="00AA52B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98,94%</w:t>
                </w:r>
              </w:p>
            </w:tc>
            <w:tc>
              <w:tcPr>
                <w:tcW w:w="280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112,94%</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(número de varones dividido entre número de mujeres</w:t>
                </w:r>
              </w:p>
            </w:tc>
            <w:tc>
              <w:tcPr>
                <w:tcW w:w="242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A52B5" w:rsidRPr="00AA52B5" w:rsidRDefault="00AA52B5" w:rsidP="00AA52B5">
                <w:pPr>
                  <w:jc w:val="cente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Índice de maternidad</w:t>
                </w:r>
              </w:p>
            </w:tc>
            <w:tc>
              <w:tcPr>
                <w:tcW w:w="2420" w:type="dxa"/>
                <w:vMerge w:val="restart"/>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Aragón</w:t>
                </w:r>
              </w:p>
            </w:tc>
            <w:tc>
              <w:tcPr>
                <w:tcW w:w="2800" w:type="dxa"/>
                <w:vMerge w:val="restart"/>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GAL</w:t>
                </w: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vMerge/>
                <w:hideMark/>
              </w:tcPr>
              <w:p w:rsidR="00AA52B5" w:rsidRPr="00AA52B5" w:rsidRDefault="00AA52B5" w:rsidP="00AA52B5">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AA52B5" w:rsidRPr="00AA52B5" w:rsidRDefault="00AA52B5" w:rsidP="00AA52B5">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20,92%</w:t>
                </w:r>
              </w:p>
            </w:tc>
            <w:tc>
              <w:tcPr>
                <w:tcW w:w="280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22,12%</w:t>
                </w: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(número de niños de 0 a4 años entre mujeres de 15 a 49)</w:t>
                </w:r>
              </w:p>
            </w:tc>
            <w:tc>
              <w:tcPr>
                <w:tcW w:w="242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A52B5" w:rsidRPr="00AA52B5" w:rsidRDefault="00AA52B5" w:rsidP="00AA52B5">
                <w:pPr>
                  <w:jc w:val="cente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Índice de potencialidad</w:t>
                </w:r>
              </w:p>
            </w:tc>
            <w:tc>
              <w:tcPr>
                <w:tcW w:w="2420" w:type="dxa"/>
                <w:vMerge w:val="restart"/>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Aragón</w:t>
                </w:r>
              </w:p>
            </w:tc>
            <w:tc>
              <w:tcPr>
                <w:tcW w:w="2800" w:type="dxa"/>
                <w:vMerge w:val="restart"/>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GAL</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vMerge/>
                <w:hideMark/>
              </w:tcPr>
              <w:p w:rsidR="00AA52B5" w:rsidRPr="00AA52B5" w:rsidRDefault="00AA52B5" w:rsidP="00AA52B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A52B5" w:rsidRPr="00AA52B5" w:rsidRDefault="00AA52B5" w:rsidP="00AA52B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77,01%</w:t>
                </w:r>
              </w:p>
            </w:tc>
            <w:tc>
              <w:tcPr>
                <w:tcW w:w="280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65,15%</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(número mujeres de 20 a 34 entre mujeres de 35 a 49)</w:t>
                </w:r>
              </w:p>
            </w:tc>
            <w:tc>
              <w:tcPr>
                <w:tcW w:w="242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A52B5" w:rsidRPr="00AA52B5" w:rsidRDefault="00AA52B5" w:rsidP="00AA52B5">
                <w:pPr>
                  <w:jc w:val="cente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A52B5" w:rsidRPr="00AA52B5" w:rsidRDefault="00AA52B5" w:rsidP="00AA52B5">
                <w:pPr>
                  <w:jc w:val="cente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 xml:space="preserve">Coeficiente de </w:t>
                </w:r>
                <w:proofErr w:type="spellStart"/>
                <w:r w:rsidRPr="00AA52B5">
                  <w:rPr>
                    <w:rFonts w:eastAsia="Times New Roman" w:cs="Times New Roman"/>
                    <w:sz w:val="20"/>
                    <w:szCs w:val="20"/>
                    <w:lang w:eastAsia="es-ES"/>
                  </w:rPr>
                  <w:t>sustitucion</w:t>
                </w:r>
                <w:proofErr w:type="spellEnd"/>
              </w:p>
            </w:tc>
            <w:tc>
              <w:tcPr>
                <w:tcW w:w="2420" w:type="dxa"/>
                <w:vMerge w:val="restart"/>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Aragón</w:t>
                </w:r>
              </w:p>
            </w:tc>
            <w:tc>
              <w:tcPr>
                <w:tcW w:w="2800" w:type="dxa"/>
                <w:vMerge w:val="restart"/>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GAL</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vMerge/>
                <w:hideMark/>
              </w:tcPr>
              <w:p w:rsidR="00AA52B5" w:rsidRPr="00AA52B5" w:rsidRDefault="00AA52B5" w:rsidP="00AA52B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A52B5" w:rsidRPr="00AA52B5" w:rsidRDefault="00AA52B5" w:rsidP="00AA52B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A52B5" w:rsidRPr="00AA52B5" w:rsidTr="00AA52B5">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A52B5" w:rsidRPr="00AA52B5" w:rsidRDefault="00AA52B5" w:rsidP="00AA52B5">
                <w:pPr>
                  <w:rPr>
                    <w:rFonts w:eastAsia="Times New Roman" w:cs="Times New Roman"/>
                    <w:sz w:val="20"/>
                    <w:szCs w:val="20"/>
                    <w:lang w:eastAsia="es-ES"/>
                  </w:rPr>
                </w:pPr>
              </w:p>
            </w:tc>
            <w:tc>
              <w:tcPr>
                <w:tcW w:w="242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80,06%</w:t>
                </w:r>
              </w:p>
            </w:tc>
            <w:tc>
              <w:tcPr>
                <w:tcW w:w="2800" w:type="dxa"/>
                <w:noWrap/>
                <w:hideMark/>
              </w:tcPr>
              <w:p w:rsidR="00AA52B5" w:rsidRPr="00AA52B5" w:rsidRDefault="00AA52B5" w:rsidP="00AA52B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A52B5">
                  <w:rPr>
                    <w:rFonts w:eastAsia="Times New Roman" w:cs="Times New Roman"/>
                    <w:b/>
                    <w:bCs/>
                    <w:sz w:val="20"/>
                    <w:szCs w:val="20"/>
                    <w:lang w:eastAsia="es-ES"/>
                  </w:rPr>
                  <w:t>56,47%</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A52B5" w:rsidRPr="00AA52B5" w:rsidRDefault="00AA52B5" w:rsidP="00AA52B5">
                <w:pPr>
                  <w:jc w:val="center"/>
                  <w:rPr>
                    <w:rFonts w:eastAsia="Times New Roman" w:cs="Times New Roman"/>
                    <w:sz w:val="20"/>
                    <w:szCs w:val="20"/>
                    <w:lang w:eastAsia="es-ES"/>
                  </w:rPr>
                </w:pPr>
                <w:r w:rsidRPr="00AA52B5">
                  <w:rPr>
                    <w:rFonts w:eastAsia="Times New Roman" w:cs="Times New Roman"/>
                    <w:sz w:val="20"/>
                    <w:szCs w:val="20"/>
                    <w:lang w:eastAsia="es-ES"/>
                  </w:rPr>
                  <w:t>(número de personas de 10 a 14 años entre personas de 60 a 64 años)</w:t>
                </w:r>
              </w:p>
            </w:tc>
            <w:tc>
              <w:tcPr>
                <w:tcW w:w="242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187242" w:rsidRPr="00187242" w:rsidRDefault="00187242" w:rsidP="00187242">
          <w:pPr>
            <w:pStyle w:val="Prrafodelista"/>
            <w:ind w:left="1146"/>
            <w:jc w:val="both"/>
            <w:rPr>
              <w:b/>
              <w:sz w:val="24"/>
              <w:szCs w:val="24"/>
            </w:rPr>
          </w:pPr>
        </w:p>
        <w:p w:rsidR="000E24E8" w:rsidRPr="000E24E8" w:rsidRDefault="000E24E8" w:rsidP="000E24E8">
          <w:pPr>
            <w:pStyle w:val="Prrafodelista"/>
            <w:numPr>
              <w:ilvl w:val="0"/>
              <w:numId w:val="1"/>
            </w:numPr>
            <w:jc w:val="both"/>
            <w:rPr>
              <w:b/>
              <w:sz w:val="24"/>
              <w:szCs w:val="24"/>
            </w:rPr>
          </w:pPr>
          <w:r>
            <w:rPr>
              <w:b/>
              <w:sz w:val="24"/>
              <w:szCs w:val="24"/>
            </w:rPr>
            <w:t>Movimientos de población.</w:t>
          </w:r>
        </w:p>
        <w:p w:rsidR="000E24E8" w:rsidRDefault="000E24E8" w:rsidP="000E24E8">
          <w:pPr>
            <w:pStyle w:val="Prrafodelista"/>
            <w:numPr>
              <w:ilvl w:val="0"/>
              <w:numId w:val="11"/>
            </w:numPr>
            <w:jc w:val="both"/>
            <w:rPr>
              <w:b/>
              <w:sz w:val="24"/>
              <w:szCs w:val="24"/>
            </w:rPr>
          </w:pPr>
          <w:r w:rsidRPr="000E24E8">
            <w:rPr>
              <w:b/>
              <w:sz w:val="24"/>
              <w:szCs w:val="24"/>
            </w:rPr>
            <w:t>Evolución de los nacimientos (2007-2012):</w:t>
          </w:r>
        </w:p>
        <w:p w:rsidR="00C6493A" w:rsidRDefault="000E24E8" w:rsidP="00C6493A">
          <w:pPr>
            <w:ind w:left="142"/>
            <w:jc w:val="center"/>
            <w:rPr>
              <w:b/>
              <w:sz w:val="24"/>
              <w:szCs w:val="24"/>
            </w:rPr>
          </w:pPr>
          <w:r>
            <w:rPr>
              <w:noProof/>
              <w:lang w:eastAsia="es-ES"/>
            </w:rPr>
            <w:drawing>
              <wp:inline distT="0" distB="0" distL="0" distR="0" wp14:anchorId="2050ED13" wp14:editId="5BA3A706">
                <wp:extent cx="5181600" cy="2481943"/>
                <wp:effectExtent l="0" t="0" r="19050"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493A" w:rsidRDefault="00C6493A" w:rsidP="00C6493A">
          <w:pPr>
            <w:pStyle w:val="Prrafodelista"/>
            <w:numPr>
              <w:ilvl w:val="0"/>
              <w:numId w:val="1"/>
            </w:numPr>
            <w:jc w:val="both"/>
            <w:rPr>
              <w:b/>
              <w:sz w:val="24"/>
              <w:szCs w:val="24"/>
            </w:rPr>
          </w:pPr>
          <w:r w:rsidRPr="00C6493A">
            <w:rPr>
              <w:b/>
              <w:sz w:val="24"/>
              <w:szCs w:val="24"/>
            </w:rPr>
            <w:lastRenderedPageBreak/>
            <w:t>Evolución de las defunciones (2006-2012):</w:t>
          </w:r>
        </w:p>
        <w:p w:rsidR="00B32B00" w:rsidRDefault="00B32B00" w:rsidP="00B32B00">
          <w:pPr>
            <w:pStyle w:val="Prrafodelista"/>
            <w:jc w:val="both"/>
            <w:rPr>
              <w:b/>
              <w:sz w:val="24"/>
              <w:szCs w:val="24"/>
            </w:rPr>
          </w:pPr>
        </w:p>
        <w:p w:rsidR="00C6493A" w:rsidRDefault="00C6493A" w:rsidP="00B26632">
          <w:pPr>
            <w:pStyle w:val="Prrafodelista"/>
            <w:rPr>
              <w:b/>
              <w:sz w:val="24"/>
              <w:szCs w:val="24"/>
            </w:rPr>
          </w:pPr>
          <w:r>
            <w:rPr>
              <w:noProof/>
              <w:lang w:eastAsia="es-ES"/>
            </w:rPr>
            <w:drawing>
              <wp:inline distT="0" distB="0" distL="0" distR="0" wp14:anchorId="304B8911" wp14:editId="5CD61CA1">
                <wp:extent cx="4762500" cy="2034540"/>
                <wp:effectExtent l="0" t="0" r="19050" b="2286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2E0D" w:rsidRDefault="00B12E0D" w:rsidP="00C6493A">
          <w:pPr>
            <w:pStyle w:val="Prrafodelista"/>
            <w:jc w:val="both"/>
            <w:rPr>
              <w:b/>
              <w:sz w:val="24"/>
              <w:szCs w:val="24"/>
            </w:rPr>
          </w:pPr>
        </w:p>
        <w:p w:rsidR="00B12E0D" w:rsidRPr="00B01298" w:rsidRDefault="00B50C23" w:rsidP="00B01298">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132" w:type="dxa"/>
            <w:tblLook w:val="04A0" w:firstRow="1" w:lastRow="0" w:firstColumn="1" w:lastColumn="0" w:noHBand="0" w:noVBand="1"/>
          </w:tblPr>
          <w:tblGrid>
            <w:gridCol w:w="3691"/>
            <w:gridCol w:w="1321"/>
            <w:gridCol w:w="1555"/>
            <w:gridCol w:w="1360"/>
            <w:gridCol w:w="1205"/>
          </w:tblGrid>
          <w:tr w:rsidR="00B50C23" w:rsidRPr="007B6979" w:rsidTr="00A6159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sz w:val="16"/>
                    <w:szCs w:val="16"/>
                    <w:lang w:eastAsia="es-ES"/>
                  </w:rPr>
                </w:pPr>
                <w:r w:rsidRPr="007B6979">
                  <w:rPr>
                    <w:rFonts w:ascii="Arial" w:eastAsia="Times New Roman" w:hAnsi="Arial" w:cs="Arial"/>
                    <w:sz w:val="16"/>
                    <w:szCs w:val="16"/>
                    <w:lang w:eastAsia="es-ES"/>
                  </w:rPr>
                  <w:t>Nacidos vivos por cada mil habitantes.</w:t>
                </w:r>
              </w:p>
            </w:tc>
            <w:tc>
              <w:tcPr>
                <w:tcW w:w="1321" w:type="dxa"/>
                <w:noWrap/>
                <w:hideMark/>
              </w:tcPr>
              <w:p w:rsidR="00B50C23" w:rsidRPr="007B6979" w:rsidRDefault="00B50C23" w:rsidP="00691E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ES"/>
                  </w:rPr>
                </w:pPr>
                <w:r w:rsidRPr="007B6979">
                  <w:rPr>
                    <w:rFonts w:ascii="Calibri" w:eastAsia="Times New Roman" w:hAnsi="Calibri" w:cs="Times New Roman"/>
                    <w:color w:val="000000"/>
                    <w:lang w:eastAsia="es-ES"/>
                  </w:rPr>
                  <w:t xml:space="preserve">Aragón </w:t>
                </w:r>
              </w:p>
            </w:tc>
            <w:tc>
              <w:tcPr>
                <w:tcW w:w="1555" w:type="dxa"/>
                <w:noWrap/>
                <w:hideMark/>
              </w:tcPr>
              <w:p w:rsidR="00B50C23" w:rsidRPr="007B6979" w:rsidRDefault="00B50C23" w:rsidP="00691E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ES"/>
                  </w:rPr>
                </w:pPr>
                <w:r w:rsidRPr="007B6979">
                  <w:rPr>
                    <w:rFonts w:ascii="Calibri" w:eastAsia="Times New Roman" w:hAnsi="Calibri" w:cs="Times New Roman"/>
                    <w:color w:val="000000"/>
                    <w:lang w:eastAsia="es-ES"/>
                  </w:rPr>
                  <w:t>GAL</w:t>
                </w:r>
              </w:p>
            </w:tc>
            <w:tc>
              <w:tcPr>
                <w:tcW w:w="1360" w:type="dxa"/>
                <w:noWrap/>
                <w:hideMark/>
              </w:tcPr>
              <w:p w:rsidR="00B50C23" w:rsidRPr="007B6979" w:rsidRDefault="00B50C23" w:rsidP="00691E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ES"/>
                  </w:rPr>
                </w:pPr>
                <w:r w:rsidRPr="007B6979">
                  <w:rPr>
                    <w:rFonts w:ascii="Calibri" w:eastAsia="Times New Roman" w:hAnsi="Calibri" w:cs="Times New Roman"/>
                    <w:color w:val="000000"/>
                    <w:lang w:eastAsia="es-ES"/>
                  </w:rPr>
                  <w:t xml:space="preserve">Aragón </w:t>
                </w:r>
              </w:p>
            </w:tc>
            <w:tc>
              <w:tcPr>
                <w:tcW w:w="1205" w:type="dxa"/>
                <w:noWrap/>
                <w:hideMark/>
              </w:tcPr>
              <w:p w:rsidR="00B50C23" w:rsidRPr="007B6979" w:rsidRDefault="00B50C23" w:rsidP="00691E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s-ES"/>
                  </w:rPr>
                </w:pPr>
                <w:r w:rsidRPr="007B6979">
                  <w:rPr>
                    <w:rFonts w:ascii="Calibri" w:eastAsia="Times New Roman" w:hAnsi="Calibri" w:cs="Times New Roman"/>
                    <w:color w:val="000000"/>
                    <w:lang w:eastAsia="es-ES"/>
                  </w:rPr>
                  <w:t>GAL</w:t>
                </w:r>
              </w:p>
            </w:tc>
          </w:tr>
          <w:tr w:rsidR="00B50C23" w:rsidRPr="007B6979" w:rsidTr="00A615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b w:val="0"/>
                    <w:bCs w:val="0"/>
                    <w:sz w:val="16"/>
                    <w:szCs w:val="16"/>
                    <w:lang w:eastAsia="es-ES"/>
                  </w:rPr>
                </w:pPr>
                <w:r w:rsidRPr="007B6979">
                  <w:rPr>
                    <w:rFonts w:ascii="Arial" w:eastAsia="Times New Roman" w:hAnsi="Arial" w:cs="Arial"/>
                    <w:sz w:val="16"/>
                    <w:szCs w:val="16"/>
                    <w:lang w:eastAsia="es-ES"/>
                  </w:rPr>
                  <w:t>Tasa Bruta de Natalidad (‰).</w:t>
                </w:r>
              </w:p>
            </w:tc>
            <w:tc>
              <w:tcPr>
                <w:tcW w:w="1321"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8,878</w:t>
                </w:r>
              </w:p>
            </w:tc>
            <w:tc>
              <w:tcPr>
                <w:tcW w:w="155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6,104</w:t>
                </w:r>
              </w:p>
            </w:tc>
            <w:tc>
              <w:tcPr>
                <w:tcW w:w="1360"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9,366</w:t>
                </w:r>
              </w:p>
            </w:tc>
            <w:tc>
              <w:tcPr>
                <w:tcW w:w="120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5,361</w:t>
                </w:r>
              </w:p>
            </w:tc>
          </w:tr>
          <w:tr w:rsidR="00B50C23" w:rsidRPr="007B6979" w:rsidTr="00A6159B">
            <w:trPr>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Calibri" w:eastAsia="Times New Roman" w:hAnsi="Calibri" w:cs="Times New Roman"/>
                    <w:color w:val="000000"/>
                    <w:lang w:eastAsia="es-ES"/>
                  </w:rPr>
                </w:pPr>
              </w:p>
            </w:tc>
            <w:tc>
              <w:tcPr>
                <w:tcW w:w="1321"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55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60"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B50C23" w:rsidRPr="007B6979" w:rsidTr="00A615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sz w:val="16"/>
                    <w:szCs w:val="16"/>
                    <w:lang w:eastAsia="es-ES"/>
                  </w:rPr>
                </w:pPr>
                <w:r w:rsidRPr="007B6979">
                  <w:rPr>
                    <w:rFonts w:ascii="Arial" w:eastAsia="Times New Roman" w:hAnsi="Arial" w:cs="Arial"/>
                    <w:sz w:val="16"/>
                    <w:szCs w:val="16"/>
                    <w:lang w:eastAsia="es-ES"/>
                  </w:rPr>
                  <w:t>Defunciones por cada mil habitantes.</w:t>
                </w:r>
              </w:p>
            </w:tc>
            <w:tc>
              <w:tcPr>
                <w:tcW w:w="1321"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 xml:space="preserve">Aragón </w:t>
                </w:r>
              </w:p>
            </w:tc>
            <w:tc>
              <w:tcPr>
                <w:tcW w:w="155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GAL</w:t>
                </w:r>
              </w:p>
            </w:tc>
            <w:tc>
              <w:tcPr>
                <w:tcW w:w="1360"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 xml:space="preserve">Aragón </w:t>
                </w:r>
              </w:p>
            </w:tc>
            <w:tc>
              <w:tcPr>
                <w:tcW w:w="120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GAL</w:t>
                </w:r>
              </w:p>
            </w:tc>
          </w:tr>
          <w:tr w:rsidR="00B50C23" w:rsidRPr="007B6979" w:rsidTr="00A6159B">
            <w:trPr>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b w:val="0"/>
                    <w:bCs w:val="0"/>
                    <w:sz w:val="16"/>
                    <w:szCs w:val="16"/>
                    <w:lang w:eastAsia="es-ES"/>
                  </w:rPr>
                </w:pPr>
                <w:r w:rsidRPr="007B6979">
                  <w:rPr>
                    <w:rFonts w:ascii="Arial" w:eastAsia="Times New Roman" w:hAnsi="Arial" w:cs="Arial"/>
                    <w:sz w:val="16"/>
                    <w:szCs w:val="16"/>
                    <w:lang w:eastAsia="es-ES"/>
                  </w:rPr>
                  <w:t>Tasa Bruta de Mortalidad (‰).</w:t>
                </w:r>
              </w:p>
            </w:tc>
            <w:tc>
              <w:tcPr>
                <w:tcW w:w="1321"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10,170</w:t>
                </w:r>
              </w:p>
            </w:tc>
            <w:tc>
              <w:tcPr>
                <w:tcW w:w="155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13,216</w:t>
                </w:r>
              </w:p>
            </w:tc>
            <w:tc>
              <w:tcPr>
                <w:tcW w:w="1360"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10,067</w:t>
                </w:r>
              </w:p>
            </w:tc>
            <w:tc>
              <w:tcPr>
                <w:tcW w:w="120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13,902</w:t>
                </w:r>
              </w:p>
            </w:tc>
          </w:tr>
          <w:tr w:rsidR="00B50C23" w:rsidRPr="007B6979" w:rsidTr="00A615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Calibri" w:eastAsia="Times New Roman" w:hAnsi="Calibri" w:cs="Times New Roman"/>
                    <w:color w:val="000000"/>
                    <w:lang w:eastAsia="es-ES"/>
                  </w:rPr>
                </w:pPr>
              </w:p>
            </w:tc>
            <w:tc>
              <w:tcPr>
                <w:tcW w:w="1321"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55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60"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0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B50C23" w:rsidRPr="007B6979" w:rsidTr="00A6159B">
            <w:trPr>
              <w:trHeight w:val="395"/>
            </w:trPr>
            <w:tc>
              <w:tcPr>
                <w:cnfStyle w:val="001000000000" w:firstRow="0" w:lastRow="0" w:firstColumn="1" w:lastColumn="0" w:oddVBand="0" w:evenVBand="0" w:oddHBand="0" w:evenHBand="0" w:firstRowFirstColumn="0" w:firstRowLastColumn="0" w:lastRowFirstColumn="0" w:lastRowLastColumn="0"/>
                <w:tcW w:w="3691" w:type="dxa"/>
                <w:hideMark/>
              </w:tcPr>
              <w:p w:rsidR="00B50C23" w:rsidRPr="007B6979" w:rsidRDefault="00B50C23" w:rsidP="00691EC8">
                <w:pPr>
                  <w:rPr>
                    <w:rFonts w:ascii="Arial" w:eastAsia="Times New Roman" w:hAnsi="Arial" w:cs="Arial"/>
                    <w:sz w:val="16"/>
                    <w:szCs w:val="16"/>
                    <w:lang w:eastAsia="es-ES"/>
                  </w:rPr>
                </w:pPr>
                <w:r w:rsidRPr="007B6979">
                  <w:rPr>
                    <w:rFonts w:ascii="Arial" w:eastAsia="Times New Roman" w:hAnsi="Arial" w:cs="Arial"/>
                    <w:sz w:val="16"/>
                    <w:szCs w:val="16"/>
                    <w:lang w:eastAsia="es-ES"/>
                  </w:rPr>
                  <w:t>Saldo vegetativo (nacimientos menos defunciones) por cada mil habitantes.</w:t>
                </w:r>
              </w:p>
            </w:tc>
            <w:tc>
              <w:tcPr>
                <w:tcW w:w="1321"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 xml:space="preserve">Aragón </w:t>
                </w:r>
              </w:p>
            </w:tc>
            <w:tc>
              <w:tcPr>
                <w:tcW w:w="155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GAL</w:t>
                </w:r>
              </w:p>
            </w:tc>
            <w:tc>
              <w:tcPr>
                <w:tcW w:w="1360"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 xml:space="preserve">Aragón </w:t>
                </w:r>
              </w:p>
            </w:tc>
            <w:tc>
              <w:tcPr>
                <w:tcW w:w="120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GAL</w:t>
                </w:r>
              </w:p>
            </w:tc>
          </w:tr>
          <w:tr w:rsidR="00B50C23" w:rsidRPr="007B6979" w:rsidTr="00A615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b w:val="0"/>
                    <w:bCs w:val="0"/>
                    <w:sz w:val="16"/>
                    <w:szCs w:val="16"/>
                    <w:lang w:eastAsia="es-ES"/>
                  </w:rPr>
                </w:pPr>
                <w:r w:rsidRPr="007B6979">
                  <w:rPr>
                    <w:rFonts w:ascii="Arial" w:eastAsia="Times New Roman" w:hAnsi="Arial" w:cs="Arial"/>
                    <w:sz w:val="16"/>
                    <w:szCs w:val="16"/>
                    <w:lang w:eastAsia="es-ES"/>
                  </w:rPr>
                  <w:t>Tasa Bruta de Crecimiento Vegetativo (‰)</w:t>
                </w:r>
              </w:p>
            </w:tc>
            <w:tc>
              <w:tcPr>
                <w:tcW w:w="1321"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-1,292</w:t>
                </w:r>
              </w:p>
            </w:tc>
            <w:tc>
              <w:tcPr>
                <w:tcW w:w="155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-7,111</w:t>
                </w:r>
              </w:p>
            </w:tc>
            <w:tc>
              <w:tcPr>
                <w:tcW w:w="1360"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-0,700</w:t>
                </w:r>
              </w:p>
            </w:tc>
            <w:tc>
              <w:tcPr>
                <w:tcW w:w="120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-8,541</w:t>
                </w:r>
              </w:p>
            </w:tc>
          </w:tr>
          <w:tr w:rsidR="00B50C23" w:rsidRPr="007B6979" w:rsidTr="00A6159B">
            <w:trPr>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Calibri" w:eastAsia="Times New Roman" w:hAnsi="Calibri" w:cs="Times New Roman"/>
                    <w:color w:val="000000"/>
                    <w:lang w:eastAsia="es-ES"/>
                  </w:rPr>
                </w:pPr>
              </w:p>
            </w:tc>
            <w:tc>
              <w:tcPr>
                <w:tcW w:w="1321" w:type="dxa"/>
                <w:noWrap/>
                <w:hideMark/>
              </w:tcPr>
              <w:p w:rsidR="00B50C23" w:rsidRPr="007B6979" w:rsidRDefault="00B50C23" w:rsidP="00691E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555" w:type="dxa"/>
                <w:noWrap/>
                <w:hideMark/>
              </w:tcPr>
              <w:p w:rsidR="00B50C23" w:rsidRPr="007B6979" w:rsidRDefault="00B50C23" w:rsidP="00691E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60" w:type="dxa"/>
                <w:noWrap/>
                <w:hideMark/>
              </w:tcPr>
              <w:p w:rsidR="00B50C23" w:rsidRPr="007B6979" w:rsidRDefault="00B50C23" w:rsidP="00691E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05" w:type="dxa"/>
                <w:noWrap/>
                <w:hideMark/>
              </w:tcPr>
              <w:p w:rsidR="00B50C23" w:rsidRPr="007B6979" w:rsidRDefault="00B50C23" w:rsidP="00691E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B50C23" w:rsidRPr="007B6979" w:rsidTr="00A615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sz w:val="16"/>
                    <w:szCs w:val="16"/>
                    <w:lang w:eastAsia="es-ES"/>
                  </w:rPr>
                </w:pPr>
                <w:r w:rsidRPr="007B6979">
                  <w:rPr>
                    <w:rFonts w:ascii="Arial" w:eastAsia="Times New Roman" w:hAnsi="Arial" w:cs="Arial"/>
                    <w:sz w:val="16"/>
                    <w:szCs w:val="16"/>
                    <w:lang w:eastAsia="es-ES"/>
                  </w:rPr>
                  <w:t>Matrimonios por cada mil habitantes.</w:t>
                </w:r>
              </w:p>
            </w:tc>
            <w:tc>
              <w:tcPr>
                <w:tcW w:w="1321"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 xml:space="preserve">Aragón </w:t>
                </w:r>
              </w:p>
            </w:tc>
            <w:tc>
              <w:tcPr>
                <w:tcW w:w="155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GAL</w:t>
                </w:r>
              </w:p>
            </w:tc>
            <w:tc>
              <w:tcPr>
                <w:tcW w:w="1360"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 xml:space="preserve">Aragón </w:t>
                </w:r>
              </w:p>
            </w:tc>
            <w:tc>
              <w:tcPr>
                <w:tcW w:w="1205" w:type="dxa"/>
                <w:noWrap/>
                <w:hideMark/>
              </w:tcPr>
              <w:p w:rsidR="00B50C23" w:rsidRPr="007B6979" w:rsidRDefault="00B50C23" w:rsidP="00691E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B6979">
                  <w:rPr>
                    <w:rFonts w:ascii="Calibri" w:eastAsia="Times New Roman" w:hAnsi="Calibri" w:cs="Times New Roman"/>
                    <w:b/>
                    <w:bCs/>
                    <w:color w:val="000000"/>
                    <w:lang w:eastAsia="es-ES"/>
                  </w:rPr>
                  <w:t>GAL</w:t>
                </w:r>
              </w:p>
            </w:tc>
          </w:tr>
          <w:tr w:rsidR="00B50C23" w:rsidRPr="007B6979" w:rsidTr="00A6159B">
            <w:trPr>
              <w:trHeight w:val="266"/>
            </w:trPr>
            <w:tc>
              <w:tcPr>
                <w:cnfStyle w:val="001000000000" w:firstRow="0" w:lastRow="0" w:firstColumn="1" w:lastColumn="0" w:oddVBand="0" w:evenVBand="0" w:oddHBand="0" w:evenHBand="0" w:firstRowFirstColumn="0" w:firstRowLastColumn="0" w:lastRowFirstColumn="0" w:lastRowLastColumn="0"/>
                <w:tcW w:w="3691" w:type="dxa"/>
                <w:noWrap/>
                <w:hideMark/>
              </w:tcPr>
              <w:p w:rsidR="00B50C23" w:rsidRPr="007B6979" w:rsidRDefault="00B50C23" w:rsidP="00691EC8">
                <w:pPr>
                  <w:rPr>
                    <w:rFonts w:ascii="Arial" w:eastAsia="Times New Roman" w:hAnsi="Arial" w:cs="Arial"/>
                    <w:b w:val="0"/>
                    <w:bCs w:val="0"/>
                    <w:sz w:val="16"/>
                    <w:szCs w:val="16"/>
                    <w:lang w:eastAsia="es-ES"/>
                  </w:rPr>
                </w:pPr>
                <w:r w:rsidRPr="007B6979">
                  <w:rPr>
                    <w:rFonts w:ascii="Arial" w:eastAsia="Times New Roman" w:hAnsi="Arial" w:cs="Arial"/>
                    <w:sz w:val="16"/>
                    <w:szCs w:val="16"/>
                    <w:lang w:eastAsia="es-ES"/>
                  </w:rPr>
                  <w:t>Tasa Bruta de Nupcialidad (‰).</w:t>
                </w:r>
              </w:p>
            </w:tc>
            <w:tc>
              <w:tcPr>
                <w:tcW w:w="1321"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3,492</w:t>
                </w:r>
              </w:p>
            </w:tc>
            <w:tc>
              <w:tcPr>
                <w:tcW w:w="155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3,965</w:t>
                </w:r>
              </w:p>
            </w:tc>
            <w:tc>
              <w:tcPr>
                <w:tcW w:w="1360"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3,205</w:t>
                </w:r>
              </w:p>
            </w:tc>
            <w:tc>
              <w:tcPr>
                <w:tcW w:w="1205" w:type="dxa"/>
                <w:noWrap/>
                <w:hideMark/>
              </w:tcPr>
              <w:p w:rsidR="00B50C23" w:rsidRPr="007B6979" w:rsidRDefault="00B50C23" w:rsidP="00691E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B6979">
                  <w:rPr>
                    <w:rFonts w:ascii="Calibri" w:eastAsia="Times New Roman" w:hAnsi="Calibri" w:cs="Times New Roman"/>
                    <w:color w:val="000000"/>
                    <w:lang w:eastAsia="es-ES"/>
                  </w:rPr>
                  <w:t>1,933</w:t>
                </w:r>
              </w:p>
            </w:tc>
          </w:tr>
        </w:tbl>
        <w:p w:rsidR="00B50C23" w:rsidRDefault="00B50C23" w:rsidP="00B50C23">
          <w:pPr>
            <w:jc w:val="both"/>
            <w:rPr>
              <w:b/>
            </w:rPr>
          </w:pPr>
        </w:p>
        <w:p w:rsidR="00B50C23" w:rsidRDefault="00B50C23" w:rsidP="00B50C23">
          <w:pPr>
            <w:pStyle w:val="Prrafodelista"/>
            <w:numPr>
              <w:ilvl w:val="0"/>
              <w:numId w:val="1"/>
            </w:numPr>
            <w:jc w:val="both"/>
            <w:rPr>
              <w:b/>
              <w:sz w:val="24"/>
              <w:szCs w:val="24"/>
            </w:rPr>
          </w:pPr>
          <w:r w:rsidRPr="00B50C23">
            <w:rPr>
              <w:b/>
              <w:sz w:val="24"/>
              <w:szCs w:val="24"/>
            </w:rPr>
            <w:t>Movimientos de población según cambio de residencia:</w:t>
          </w:r>
        </w:p>
        <w:p w:rsidR="00E87CD9" w:rsidRDefault="00A6159B" w:rsidP="00E87CD9">
          <w:pPr>
            <w:pStyle w:val="Prrafodelista"/>
            <w:jc w:val="both"/>
            <w:rPr>
              <w:b/>
              <w:sz w:val="24"/>
              <w:szCs w:val="24"/>
            </w:rPr>
          </w:pPr>
          <w:r>
            <w:rPr>
              <w:noProof/>
              <w:lang w:eastAsia="es-ES"/>
            </w:rPr>
            <w:drawing>
              <wp:inline distT="0" distB="0" distL="0" distR="0" wp14:anchorId="1D1522F5" wp14:editId="4EEADC02">
                <wp:extent cx="5052060" cy="2263140"/>
                <wp:effectExtent l="0" t="0" r="15240" b="228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7CD9" w:rsidRPr="00A6159B" w:rsidRDefault="00E87CD9" w:rsidP="00A6159B">
          <w:pPr>
            <w:jc w:val="both"/>
            <w:rPr>
              <w:b/>
              <w:sz w:val="24"/>
              <w:szCs w:val="24"/>
            </w:rPr>
          </w:pPr>
        </w:p>
        <w:p w:rsidR="00E87CD9" w:rsidRDefault="00E87CD9" w:rsidP="00E87CD9">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E87CD9">
          <w:pPr>
            <w:pStyle w:val="Prrafodelista"/>
            <w:jc w:val="both"/>
            <w:rPr>
              <w:b/>
              <w:sz w:val="24"/>
              <w:szCs w:val="24"/>
            </w:rPr>
          </w:pPr>
        </w:p>
        <w:p w:rsidR="00E87CD9" w:rsidRDefault="00E87CD9" w:rsidP="00E87CD9">
          <w:pPr>
            <w:pStyle w:val="Prrafodelista"/>
            <w:jc w:val="both"/>
            <w:rPr>
              <w:b/>
              <w:sz w:val="24"/>
              <w:szCs w:val="24"/>
            </w:rPr>
          </w:pPr>
          <w:r>
            <w:rPr>
              <w:b/>
              <w:noProof/>
              <w:lang w:eastAsia="es-ES"/>
            </w:rPr>
            <w:drawing>
              <wp:inline distT="0" distB="0" distL="0" distR="0" wp14:anchorId="23070BC0" wp14:editId="605A821D">
                <wp:extent cx="2427514" cy="158931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502" cy="1592580"/>
                        </a:xfrm>
                        <a:prstGeom prst="rect">
                          <a:avLst/>
                        </a:prstGeom>
                        <a:noFill/>
                        <a:ln>
                          <a:noFill/>
                        </a:ln>
                      </pic:spPr>
                    </pic:pic>
                  </a:graphicData>
                </a:graphic>
              </wp:inline>
            </w:drawing>
          </w:r>
          <w:r w:rsidR="00806DE7">
            <w:rPr>
              <w:b/>
              <w:noProof/>
              <w:sz w:val="24"/>
              <w:szCs w:val="24"/>
              <w:lang w:eastAsia="es-ES"/>
            </w:rPr>
            <w:drawing>
              <wp:inline distT="0" distB="0" distL="0" distR="0" wp14:anchorId="22A8BB18">
                <wp:extent cx="2428240" cy="1584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0757" cy="1586318"/>
                        </a:xfrm>
                        <a:prstGeom prst="rect">
                          <a:avLst/>
                        </a:prstGeom>
                        <a:noFill/>
                      </pic:spPr>
                    </pic:pic>
                  </a:graphicData>
                </a:graphic>
              </wp:inline>
            </w:drawing>
          </w:r>
        </w:p>
        <w:p w:rsidR="00183475" w:rsidRDefault="00183475" w:rsidP="00183475">
          <w:pPr>
            <w:ind w:firstLine="708"/>
            <w:jc w:val="both"/>
            <w:rPr>
              <w:sz w:val="24"/>
              <w:szCs w:val="24"/>
            </w:rPr>
          </w:pPr>
        </w:p>
        <w:p w:rsidR="0056525A" w:rsidRDefault="0056525A" w:rsidP="00183475">
          <w:pPr>
            <w:ind w:firstLine="708"/>
            <w:jc w:val="both"/>
            <w:rPr>
              <w:sz w:val="24"/>
              <w:szCs w:val="24"/>
            </w:rPr>
          </w:pPr>
        </w:p>
        <w:p w:rsidR="0056525A" w:rsidRDefault="0056525A" w:rsidP="00183475">
          <w:pPr>
            <w:ind w:firstLine="708"/>
            <w:jc w:val="both"/>
            <w:rPr>
              <w:sz w:val="24"/>
              <w:szCs w:val="24"/>
            </w:rPr>
          </w:pPr>
        </w:p>
        <w:p w:rsidR="0056525A" w:rsidRDefault="0056525A" w:rsidP="00183475">
          <w:pPr>
            <w:ind w:firstLine="708"/>
            <w:jc w:val="both"/>
          </w:pPr>
        </w:p>
        <w:p w:rsidR="00183475" w:rsidRPr="00183475" w:rsidRDefault="00183475" w:rsidP="00183475">
          <w:pPr>
            <w:jc w:val="both"/>
            <w:rPr>
              <w:b/>
              <w:sz w:val="24"/>
              <w:szCs w:val="24"/>
            </w:rPr>
          </w:pPr>
        </w:p>
        <w:p w:rsidR="00C6493A" w:rsidRDefault="00C6493A" w:rsidP="00C6493A">
          <w:pPr>
            <w:pStyle w:val="Prrafodelista"/>
            <w:ind w:left="1146"/>
            <w:jc w:val="both"/>
            <w:rPr>
              <w:b/>
            </w:rPr>
          </w:pPr>
        </w:p>
        <w:p w:rsidR="000E24E8" w:rsidRPr="000E24E8" w:rsidRDefault="000E24E8" w:rsidP="00C6493A">
          <w:pPr>
            <w:ind w:left="142"/>
            <w:rPr>
              <w:b/>
              <w:sz w:val="24"/>
              <w:szCs w:val="24"/>
            </w:rPr>
          </w:pPr>
        </w:p>
        <w:p w:rsidR="00533C22" w:rsidRPr="000E24E8" w:rsidRDefault="00533C22" w:rsidP="000E24E8">
          <w:pPr>
            <w:jc w:val="both"/>
            <w:rPr>
              <w:sz w:val="24"/>
              <w:szCs w:val="24"/>
            </w:rPr>
          </w:pPr>
        </w:p>
        <w:p w:rsidR="00533C22" w:rsidRPr="00533C22" w:rsidRDefault="00533C22" w:rsidP="00533C22">
          <w:pPr>
            <w:jc w:val="both"/>
            <w:rPr>
              <w:sz w:val="24"/>
              <w:szCs w:val="24"/>
            </w:rPr>
          </w:pPr>
        </w:p>
        <w:p w:rsidR="00533C22" w:rsidRPr="00533C22" w:rsidRDefault="00533C22" w:rsidP="00533C22">
          <w:pPr>
            <w:rPr>
              <w:b/>
              <w:sz w:val="24"/>
              <w:szCs w:val="24"/>
            </w:rPr>
          </w:pPr>
        </w:p>
        <w:p w:rsidR="005047FE" w:rsidRDefault="005047FE">
          <w:pPr>
            <w:rPr>
              <w:noProof/>
              <w:lang w:eastAsia="es-ES"/>
            </w:rPr>
          </w:pPr>
        </w:p>
        <w:p w:rsidR="005047FE" w:rsidRDefault="005047FE">
          <w:pPr>
            <w:rPr>
              <w:noProof/>
              <w:lang w:eastAsia="es-ES"/>
            </w:rPr>
          </w:pPr>
        </w:p>
        <w:p w:rsidR="00A6159B" w:rsidRDefault="00A6159B">
          <w:pPr>
            <w:rPr>
              <w:noProof/>
              <w:lang w:eastAsia="es-ES"/>
            </w:rPr>
          </w:pPr>
        </w:p>
        <w:p w:rsidR="00A6159B" w:rsidRDefault="00A6159B">
          <w:pPr>
            <w:rPr>
              <w:noProof/>
              <w:lang w:eastAsia="es-ES"/>
            </w:rPr>
          </w:pPr>
        </w:p>
        <w:p w:rsidR="00A6159B" w:rsidRDefault="00A6159B">
          <w:pPr>
            <w:rPr>
              <w:noProof/>
              <w:lang w:eastAsia="es-ES"/>
            </w:rPr>
          </w:pPr>
        </w:p>
        <w:p w:rsidR="00A6159B" w:rsidRDefault="00A6159B">
          <w:pPr>
            <w:rPr>
              <w:noProof/>
              <w:lang w:eastAsia="es-ES"/>
            </w:rPr>
          </w:pPr>
        </w:p>
        <w:p w:rsidR="00A6159B" w:rsidRDefault="00A6159B">
          <w:pPr>
            <w:rPr>
              <w:noProof/>
              <w:lang w:eastAsia="es-ES"/>
            </w:rPr>
          </w:pPr>
        </w:p>
        <w:p w:rsidR="00A6159B" w:rsidRDefault="00A6159B">
          <w:pPr>
            <w:rPr>
              <w:noProof/>
              <w:lang w:eastAsia="es-ES"/>
            </w:rPr>
          </w:pPr>
        </w:p>
        <w:p w:rsidR="00A6159B" w:rsidRDefault="00A6159B">
          <w:pPr>
            <w:rPr>
              <w:noProof/>
              <w:lang w:eastAsia="es-ES"/>
            </w:rPr>
          </w:pPr>
        </w:p>
        <w:p w:rsidR="00A6159B" w:rsidRDefault="00A6159B">
          <w:pPr>
            <w:rPr>
              <w:noProof/>
              <w:lang w:eastAsia="es-ES"/>
            </w:rPr>
          </w:pPr>
        </w:p>
        <w:p w:rsidR="005047FE" w:rsidRDefault="00726F58">
          <w:r>
            <w:rPr>
              <w:noProof/>
              <w:lang w:eastAsia="es-ES"/>
            </w:rPr>
            <w:lastRenderedPageBreak/>
            <mc:AlternateContent>
              <mc:Choice Requires="wps">
                <w:drawing>
                  <wp:anchor distT="0" distB="0" distL="114300" distR="114300" simplePos="0" relativeHeight="251668480" behindDoc="0" locked="0" layoutInCell="1" allowOverlap="1" wp14:anchorId="69063F7F" wp14:editId="2FBED8C2">
                    <wp:simplePos x="0" y="0"/>
                    <wp:positionH relativeFrom="column">
                      <wp:posOffset>-81915</wp:posOffset>
                    </wp:positionH>
                    <wp:positionV relativeFrom="paragraph">
                      <wp:posOffset>80010</wp:posOffset>
                    </wp:positionV>
                    <wp:extent cx="1440180" cy="396240"/>
                    <wp:effectExtent l="76200" t="38100" r="102870" b="118110"/>
                    <wp:wrapNone/>
                    <wp:docPr id="3" name="3 Rectángulo redondeado"/>
                    <wp:cNvGraphicFramePr/>
                    <a:graphic xmlns:a="http://schemas.openxmlformats.org/drawingml/2006/main">
                      <a:graphicData uri="http://schemas.microsoft.com/office/word/2010/wordprocessingShape">
                        <wps:wsp>
                          <wps:cNvSpPr/>
                          <wps:spPr>
                            <a:xfrm>
                              <a:off x="0" y="0"/>
                              <a:ext cx="1440180" cy="39624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26F58" w:rsidRPr="00726F58" w:rsidRDefault="00726F58" w:rsidP="00726F58">
                                <w:pPr>
                                  <w:jc w:val="center"/>
                                  <w:rPr>
                                    <w:b/>
                                  </w:rPr>
                                </w:pPr>
                                <w:r w:rsidRPr="00726F58">
                                  <w:rPr>
                                    <w:b/>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 Rectángulo redondeado" o:spid="_x0000_s1028" style="position:absolute;margin-left:-6.45pt;margin-top:6.3pt;width:113.4pt;height:31.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" fillcolor="#8064a2 [3207]" stroked="f" strokeweight="2pt">
                    <v:shadow on="t" color="black" opacity="20971f" offset="0,2.2pt"/>
                    <v:textbox>
                      <w:txbxContent>
                        <w:p w:rsidR="00726F58" w:rsidRPr="00726F58" w:rsidRDefault="00726F58" w:rsidP="00726F58">
                          <w:pPr>
                            <w:jc w:val="center"/>
                            <w:rPr>
                              <w:b/>
                            </w:rPr>
                          </w:pPr>
                          <w:r w:rsidRPr="00726F58">
                            <w:rPr>
                              <w:b/>
                            </w:rPr>
                            <w:t>ECONOMÍA</w:t>
                          </w:r>
                        </w:p>
                      </w:txbxContent>
                    </v:textbox>
                  </v:roundrect>
                </w:pict>
              </mc:Fallback>
            </mc:AlternateContent>
          </w:r>
        </w:p>
      </w:sdtContent>
    </w:sdt>
    <w:p w:rsidR="003B3FA0" w:rsidRDefault="003B3FA0"/>
    <w:p w:rsidR="00726F58" w:rsidRPr="00726F58" w:rsidRDefault="00726F58" w:rsidP="00726F58">
      <w:pPr>
        <w:pStyle w:val="Prrafodelista"/>
        <w:numPr>
          <w:ilvl w:val="0"/>
          <w:numId w:val="1"/>
        </w:numPr>
        <w:tabs>
          <w:tab w:val="left" w:pos="3456"/>
        </w:tabs>
        <w:jc w:val="both"/>
        <w:rPr>
          <w:b/>
        </w:rPr>
      </w:pPr>
      <w:r w:rsidRPr="005F110C">
        <w:rPr>
          <w:b/>
        </w:rPr>
        <w:t>Porcentaje de actividades económicas por sector de actividad</w:t>
      </w:r>
    </w:p>
    <w:p w:rsidR="00726F58" w:rsidRDefault="00AC62B9">
      <w:r>
        <w:rPr>
          <w:noProof/>
          <w:lang w:eastAsia="es-ES"/>
        </w:rPr>
        <w:drawing>
          <wp:inline distT="0" distB="0" distL="0" distR="0" wp14:anchorId="478E5A5A" wp14:editId="3B2CFA4C">
            <wp:extent cx="5455920" cy="2971800"/>
            <wp:effectExtent l="0" t="0" r="1143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2763" w:rsidRPr="00B12763" w:rsidRDefault="00B12763" w:rsidP="00B12763">
      <w:pPr>
        <w:pStyle w:val="Prrafodelista"/>
        <w:numPr>
          <w:ilvl w:val="0"/>
          <w:numId w:val="1"/>
        </w:numPr>
        <w:tabs>
          <w:tab w:val="left" w:pos="3456"/>
        </w:tabs>
        <w:rPr>
          <w:b/>
        </w:rPr>
      </w:pPr>
      <w:r>
        <w:rPr>
          <w:b/>
        </w:rPr>
        <w:t>Evolución de las actividades económicas durante el periodo 2011-2012:</w:t>
      </w:r>
    </w:p>
    <w:p w:rsidR="00B12763" w:rsidRDefault="00B12763">
      <w:r>
        <w:rPr>
          <w:noProof/>
          <w:lang w:eastAsia="es-ES"/>
        </w:rPr>
        <w:drawing>
          <wp:inline distT="0" distB="0" distL="0" distR="0" wp14:anchorId="478B1A03" wp14:editId="3E71CE37">
            <wp:extent cx="5455920" cy="3787140"/>
            <wp:effectExtent l="0" t="0" r="11430" b="228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4B58" w:rsidRDefault="00984B58"/>
    <w:p w:rsidR="00B12763" w:rsidRDefault="00984B58" w:rsidP="00984B58">
      <w:pPr>
        <w:pStyle w:val="Prrafodelista"/>
        <w:numPr>
          <w:ilvl w:val="0"/>
          <w:numId w:val="1"/>
        </w:numPr>
        <w:rPr>
          <w:b/>
        </w:rPr>
      </w:pPr>
      <w:r w:rsidRPr="00984B58">
        <w:rPr>
          <w:b/>
        </w:rPr>
        <w:lastRenderedPageBreak/>
        <w:t xml:space="preserve">Estructura de altas en la seguridad social por sexo y grupos de edad (Septiembre 2014) </w:t>
      </w:r>
    </w:p>
    <w:p w:rsidR="00B52B6F" w:rsidRDefault="00B52B6F" w:rsidP="00B52B6F">
      <w:pPr>
        <w:pStyle w:val="Prrafodelista"/>
        <w:rPr>
          <w:b/>
        </w:rPr>
      </w:pPr>
    </w:p>
    <w:p w:rsidR="00984B58" w:rsidRDefault="00984B58" w:rsidP="00E562F3">
      <w:pPr>
        <w:pStyle w:val="Prrafodelista"/>
        <w:ind w:left="0"/>
        <w:rPr>
          <w:b/>
        </w:rPr>
      </w:pPr>
      <w:r>
        <w:rPr>
          <w:noProof/>
          <w:lang w:eastAsia="es-ES"/>
        </w:rPr>
        <w:drawing>
          <wp:inline distT="0" distB="0" distL="0" distR="0" wp14:anchorId="2F00E7C0" wp14:editId="50C78D70">
            <wp:extent cx="5402580" cy="3467100"/>
            <wp:effectExtent l="0" t="0" r="2667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62F3" w:rsidRDefault="00E562F3" w:rsidP="00E562F3">
      <w:pPr>
        <w:pStyle w:val="Prrafodelista"/>
        <w:numPr>
          <w:ilvl w:val="0"/>
          <w:numId w:val="1"/>
        </w:numPr>
        <w:rPr>
          <w:b/>
        </w:rPr>
      </w:pPr>
      <w:r w:rsidRPr="00E562F3">
        <w:rPr>
          <w:b/>
        </w:rPr>
        <w:t>E</w:t>
      </w:r>
      <w:r>
        <w:rPr>
          <w:b/>
        </w:rPr>
        <w:t xml:space="preserve">structura de altas en la seguridad social por sexo y grupos de edad (Junio 2014) </w:t>
      </w:r>
    </w:p>
    <w:p w:rsidR="00E562F3" w:rsidRDefault="00E562F3" w:rsidP="00E562F3">
      <w:pPr>
        <w:rPr>
          <w:b/>
        </w:rPr>
      </w:pPr>
      <w:r>
        <w:rPr>
          <w:noProof/>
          <w:lang w:eastAsia="es-ES"/>
        </w:rPr>
        <w:drawing>
          <wp:inline distT="0" distB="0" distL="0" distR="0" wp14:anchorId="1289CF9E" wp14:editId="4BEE9047">
            <wp:extent cx="5405120" cy="3241040"/>
            <wp:effectExtent l="0" t="0" r="24130" b="1651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7B27" w:rsidRDefault="00967B27" w:rsidP="00E562F3">
      <w:pPr>
        <w:rPr>
          <w:b/>
        </w:rPr>
      </w:pPr>
    </w:p>
    <w:p w:rsidR="00967B27" w:rsidRDefault="00967B27" w:rsidP="00E562F3">
      <w:pPr>
        <w:rPr>
          <w:b/>
        </w:rPr>
      </w:pPr>
    </w:p>
    <w:p w:rsidR="00064CFF" w:rsidRPr="00967B27" w:rsidRDefault="00967B27" w:rsidP="00E562F3">
      <w:pPr>
        <w:pStyle w:val="Prrafodelista"/>
        <w:numPr>
          <w:ilvl w:val="0"/>
          <w:numId w:val="1"/>
        </w:numPr>
        <w:rPr>
          <w:b/>
        </w:rPr>
      </w:pPr>
      <w:r w:rsidRPr="00967B27">
        <w:rPr>
          <w:b/>
        </w:rPr>
        <w:lastRenderedPageBreak/>
        <w:t xml:space="preserve">Total de altas en la seguridad social por actividad, agrupado por grupo y régimen (Junio 2014).  </w:t>
      </w:r>
    </w:p>
    <w:p w:rsidR="00064CFF" w:rsidRDefault="00064CFF" w:rsidP="00064CFF">
      <w:pPr>
        <w:ind w:left="-426" w:firstLine="426"/>
        <w:rPr>
          <w:b/>
        </w:rPr>
      </w:pPr>
      <w:r>
        <w:rPr>
          <w:noProof/>
          <w:lang w:eastAsia="es-ES"/>
        </w:rPr>
        <w:drawing>
          <wp:inline distT="0" distB="0" distL="0" distR="0" wp14:anchorId="1A21D042" wp14:editId="1E3F2D00">
            <wp:extent cx="5966460" cy="3558540"/>
            <wp:effectExtent l="0" t="0" r="15240" b="2286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1DA8" w:rsidRPr="00AA52B5" w:rsidRDefault="00001DA8" w:rsidP="00AA52B5">
      <w:pPr>
        <w:pStyle w:val="Prrafodelista"/>
        <w:numPr>
          <w:ilvl w:val="0"/>
          <w:numId w:val="1"/>
        </w:numPr>
        <w:rPr>
          <w:b/>
        </w:rPr>
      </w:pPr>
      <w:r w:rsidRPr="00001DA8">
        <w:rPr>
          <w:b/>
        </w:rPr>
        <w:t xml:space="preserve">Altas por sexo </w:t>
      </w:r>
      <w:r>
        <w:rPr>
          <w:b/>
        </w:rPr>
        <w:t>agrupados en</w:t>
      </w:r>
      <w:r w:rsidRPr="00001DA8">
        <w:rPr>
          <w:b/>
        </w:rPr>
        <w:t xml:space="preserve"> grupos y régimen de cotización (Septiembre 2014) </w:t>
      </w:r>
    </w:p>
    <w:p w:rsidR="00001DA8" w:rsidRDefault="009C5896" w:rsidP="00064CFF">
      <w:pPr>
        <w:ind w:left="-426" w:firstLine="426"/>
        <w:rPr>
          <w:b/>
        </w:rPr>
      </w:pPr>
      <w:r>
        <w:rPr>
          <w:noProof/>
          <w:lang w:eastAsia="es-ES"/>
        </w:rPr>
        <w:drawing>
          <wp:inline distT="0" distB="0" distL="0" distR="0" wp14:anchorId="78AE153D" wp14:editId="4971C6DC">
            <wp:extent cx="5966460" cy="3086100"/>
            <wp:effectExtent l="0" t="0" r="1524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2CDC" w:rsidRDefault="00CC2CDC" w:rsidP="00064CFF">
      <w:pPr>
        <w:ind w:left="-426" w:firstLine="426"/>
        <w:rPr>
          <w:b/>
        </w:rPr>
      </w:pPr>
    </w:p>
    <w:p w:rsidR="009257EF" w:rsidRDefault="009257EF" w:rsidP="00AA52B5">
      <w:pPr>
        <w:rPr>
          <w:b/>
        </w:rPr>
      </w:pPr>
    </w:p>
    <w:p w:rsidR="00F2268A" w:rsidRPr="00F2268A" w:rsidRDefault="009257EF" w:rsidP="00F2268A">
      <w:pPr>
        <w:pStyle w:val="Prrafodelista"/>
        <w:numPr>
          <w:ilvl w:val="0"/>
          <w:numId w:val="1"/>
        </w:numPr>
        <w:rPr>
          <w:b/>
        </w:rPr>
      </w:pPr>
      <w:r w:rsidRPr="009257EF">
        <w:rPr>
          <w:b/>
        </w:rPr>
        <w:lastRenderedPageBreak/>
        <w:t>Promedio de las fuentes tributarias que existen de cada tipo en el grupo ADESHO</w:t>
      </w:r>
      <w:r w:rsidR="00F2268A">
        <w:rPr>
          <w:b/>
        </w:rPr>
        <w:t xml:space="preserve"> (2010).</w:t>
      </w:r>
    </w:p>
    <w:tbl>
      <w:tblPr>
        <w:tblStyle w:val="Sombreadoclaro-nfasis4"/>
        <w:tblW w:w="8755" w:type="dxa"/>
        <w:tblLook w:val="04A0" w:firstRow="1" w:lastRow="0" w:firstColumn="1" w:lastColumn="0" w:noHBand="0" w:noVBand="1"/>
      </w:tblPr>
      <w:tblGrid>
        <w:gridCol w:w="1362"/>
        <w:gridCol w:w="1959"/>
        <w:gridCol w:w="2143"/>
        <w:gridCol w:w="2219"/>
        <w:gridCol w:w="1072"/>
      </w:tblGrid>
      <w:tr w:rsidR="00AA52B5" w:rsidRPr="00AA52B5" w:rsidTr="00AA52B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62" w:type="dxa"/>
            <w:vMerge w:val="restart"/>
            <w:noWrap/>
            <w:hideMark/>
          </w:tcPr>
          <w:p w:rsidR="00AA52B5" w:rsidRPr="00AA52B5" w:rsidRDefault="00AA52B5" w:rsidP="00AA52B5">
            <w:pPr>
              <w:rPr>
                <w:rFonts w:ascii="Calibri" w:eastAsia="Times New Roman" w:hAnsi="Calibri" w:cs="Times New Roman"/>
                <w:color w:val="000000"/>
                <w:lang w:eastAsia="es-ES"/>
              </w:rPr>
            </w:pPr>
            <w:r w:rsidRPr="00AA52B5">
              <w:rPr>
                <w:rFonts w:ascii="Calibri" w:eastAsia="Times New Roman" w:hAnsi="Calibri" w:cs="Times New Roman"/>
                <w:color w:val="000000"/>
                <w:lang w:eastAsia="es-ES"/>
              </w:rPr>
              <w:t>ADESHO</w:t>
            </w:r>
          </w:p>
        </w:tc>
        <w:tc>
          <w:tcPr>
            <w:tcW w:w="1959" w:type="dxa"/>
            <w:noWrap/>
            <w:hideMark/>
          </w:tcPr>
          <w:p w:rsidR="00AA52B5" w:rsidRPr="00AA52B5" w:rsidRDefault="00AA52B5" w:rsidP="00AA52B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A52B5">
              <w:rPr>
                <w:rFonts w:ascii="Calibri" w:eastAsia="Times New Roman" w:hAnsi="Calibri" w:cs="Times New Roman"/>
                <w:color w:val="000000"/>
                <w:lang w:eastAsia="es-ES"/>
              </w:rPr>
              <w:t>Total percepciones salarios</w:t>
            </w:r>
          </w:p>
        </w:tc>
        <w:tc>
          <w:tcPr>
            <w:tcW w:w="2143" w:type="dxa"/>
            <w:noWrap/>
            <w:hideMark/>
          </w:tcPr>
          <w:p w:rsidR="00AA52B5" w:rsidRPr="00AA52B5" w:rsidRDefault="00AA52B5" w:rsidP="00AA52B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A52B5">
              <w:rPr>
                <w:rFonts w:ascii="Calibri" w:eastAsia="Times New Roman" w:hAnsi="Calibri" w:cs="Times New Roman"/>
                <w:color w:val="000000"/>
                <w:lang w:eastAsia="es-ES"/>
              </w:rPr>
              <w:t>Total Percepciones pensiones</w:t>
            </w:r>
          </w:p>
        </w:tc>
        <w:tc>
          <w:tcPr>
            <w:tcW w:w="2219" w:type="dxa"/>
            <w:noWrap/>
            <w:hideMark/>
          </w:tcPr>
          <w:p w:rsidR="00AA52B5" w:rsidRPr="00AA52B5" w:rsidRDefault="00AA52B5" w:rsidP="00AA52B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A52B5">
              <w:rPr>
                <w:rFonts w:ascii="Calibri" w:eastAsia="Times New Roman" w:hAnsi="Calibri" w:cs="Times New Roman"/>
                <w:color w:val="000000"/>
                <w:lang w:eastAsia="es-ES"/>
              </w:rPr>
              <w:t>Total Percepciones desempleo</w:t>
            </w:r>
          </w:p>
        </w:tc>
        <w:tc>
          <w:tcPr>
            <w:tcW w:w="1072" w:type="dxa"/>
            <w:noWrap/>
            <w:hideMark/>
          </w:tcPr>
          <w:p w:rsidR="00AA52B5" w:rsidRPr="00AA52B5" w:rsidRDefault="00AA52B5" w:rsidP="00AA52B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AA52B5">
              <w:rPr>
                <w:rFonts w:ascii="Calibri" w:eastAsia="Times New Roman" w:hAnsi="Calibri" w:cs="Times New Roman"/>
                <w:bCs w:val="0"/>
                <w:color w:val="000000"/>
                <w:lang w:eastAsia="es-ES"/>
              </w:rPr>
              <w:t>Padrón</w:t>
            </w:r>
            <w:r w:rsidRPr="00AA52B5">
              <w:rPr>
                <w:rFonts w:ascii="Calibri" w:eastAsia="Times New Roman" w:hAnsi="Calibri" w:cs="Times New Roman"/>
                <w:color w:val="000000"/>
                <w:lang w:eastAsia="es-ES"/>
              </w:rPr>
              <w:t xml:space="preserve"> total</w:t>
            </w:r>
          </w:p>
        </w:tc>
      </w:tr>
      <w:tr w:rsidR="00AA52B5" w:rsidRPr="00AA52B5" w:rsidTr="00AA52B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362" w:type="dxa"/>
            <w:vMerge/>
            <w:noWrap/>
            <w:hideMark/>
          </w:tcPr>
          <w:p w:rsidR="00AA52B5" w:rsidRPr="00AA52B5" w:rsidRDefault="00AA52B5" w:rsidP="00AA52B5">
            <w:pPr>
              <w:rPr>
                <w:rFonts w:ascii="Calibri" w:eastAsia="Times New Roman" w:hAnsi="Calibri" w:cs="Times New Roman"/>
                <w:color w:val="000000"/>
                <w:lang w:eastAsia="es-ES"/>
              </w:rPr>
            </w:pPr>
          </w:p>
        </w:tc>
        <w:tc>
          <w:tcPr>
            <w:tcW w:w="1959"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AA52B5">
              <w:rPr>
                <w:rFonts w:ascii="Calibri" w:eastAsia="Times New Roman" w:hAnsi="Calibri" w:cs="Times New Roman"/>
                <w:b/>
                <w:bCs/>
                <w:color w:val="000000"/>
                <w:lang w:eastAsia="es-ES"/>
              </w:rPr>
              <w:t>6189</w:t>
            </w:r>
          </w:p>
        </w:tc>
        <w:tc>
          <w:tcPr>
            <w:tcW w:w="2143"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AA52B5">
              <w:rPr>
                <w:rFonts w:ascii="Calibri" w:eastAsia="Times New Roman" w:hAnsi="Calibri" w:cs="Times New Roman"/>
                <w:b/>
                <w:bCs/>
                <w:color w:val="000000"/>
                <w:lang w:eastAsia="es-ES"/>
              </w:rPr>
              <w:t>4334</w:t>
            </w:r>
          </w:p>
        </w:tc>
        <w:tc>
          <w:tcPr>
            <w:tcW w:w="2219"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AA52B5">
              <w:rPr>
                <w:rFonts w:ascii="Calibri" w:eastAsia="Times New Roman" w:hAnsi="Calibri" w:cs="Times New Roman"/>
                <w:b/>
                <w:bCs/>
                <w:color w:val="000000"/>
                <w:lang w:eastAsia="es-ES"/>
              </w:rPr>
              <w:t>1081</w:t>
            </w:r>
          </w:p>
        </w:tc>
        <w:tc>
          <w:tcPr>
            <w:tcW w:w="1072" w:type="dxa"/>
            <w:noWrap/>
            <w:hideMark/>
          </w:tcPr>
          <w:p w:rsidR="00AA52B5" w:rsidRPr="00AA52B5" w:rsidRDefault="00AA52B5" w:rsidP="00AA52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AA52B5">
              <w:rPr>
                <w:rFonts w:ascii="Calibri" w:eastAsia="Times New Roman" w:hAnsi="Calibri" w:cs="Times New Roman"/>
                <w:b/>
                <w:bCs/>
                <w:color w:val="000000"/>
                <w:lang w:eastAsia="es-ES"/>
              </w:rPr>
              <w:t>15862</w:t>
            </w:r>
          </w:p>
        </w:tc>
      </w:tr>
    </w:tbl>
    <w:p w:rsidR="009257EF" w:rsidRDefault="009257EF" w:rsidP="009257EF">
      <w:pPr>
        <w:pStyle w:val="Prrafodelista"/>
        <w:rPr>
          <w:b/>
        </w:rPr>
      </w:pPr>
    </w:p>
    <w:p w:rsidR="009257EF" w:rsidRDefault="009257EF" w:rsidP="009257EF">
      <w:pPr>
        <w:pStyle w:val="Prrafodelista"/>
        <w:rPr>
          <w:b/>
        </w:rPr>
      </w:pPr>
    </w:p>
    <w:p w:rsidR="009257EF" w:rsidRPr="009257EF" w:rsidRDefault="009257EF" w:rsidP="009257EF">
      <w:pPr>
        <w:pStyle w:val="Prrafodelista"/>
        <w:rPr>
          <w:b/>
        </w:rPr>
      </w:pPr>
    </w:p>
    <w:p w:rsidR="00E562F3" w:rsidRDefault="00E562F3" w:rsidP="00E562F3">
      <w:pPr>
        <w:rPr>
          <w:b/>
        </w:rPr>
      </w:pPr>
    </w:p>
    <w:p w:rsidR="00E562F3" w:rsidRDefault="00E562F3" w:rsidP="00E562F3">
      <w:pPr>
        <w:rPr>
          <w:b/>
        </w:rPr>
      </w:pPr>
    </w:p>
    <w:p w:rsidR="00E562F3" w:rsidRDefault="00E562F3" w:rsidP="00E562F3">
      <w:pPr>
        <w:rPr>
          <w:b/>
        </w:rPr>
      </w:pPr>
    </w:p>
    <w:p w:rsidR="00E562F3" w:rsidRPr="00E562F3" w:rsidRDefault="00E562F3" w:rsidP="00E562F3">
      <w:pPr>
        <w:rPr>
          <w:b/>
        </w:rPr>
      </w:pPr>
    </w:p>
    <w:p w:rsidR="00B52B6F" w:rsidRPr="00984B58" w:rsidRDefault="00B52B6F" w:rsidP="00984B58">
      <w:pPr>
        <w:pStyle w:val="Prrafodelista"/>
        <w:rPr>
          <w:b/>
        </w:rPr>
      </w:pPr>
    </w:p>
    <w:p w:rsidR="00726F58" w:rsidRDefault="00726F58"/>
    <w:p w:rsidR="00726F58" w:rsidRDefault="00726F58"/>
    <w:p w:rsidR="00405546" w:rsidRDefault="00405546"/>
    <w:p w:rsidR="00AA52B5" w:rsidRDefault="00AA52B5"/>
    <w:p w:rsidR="00AA52B5" w:rsidRDefault="00AA52B5"/>
    <w:p w:rsidR="00AA52B5" w:rsidRDefault="00AA52B5"/>
    <w:p w:rsidR="00AA52B5" w:rsidRDefault="00AA52B5"/>
    <w:p w:rsidR="00AA52B5" w:rsidRDefault="00AA52B5"/>
    <w:p w:rsidR="00AA52B5" w:rsidRDefault="00AA52B5"/>
    <w:p w:rsidR="00AA52B5" w:rsidRDefault="00AA52B5"/>
    <w:p w:rsidR="00AA52B5" w:rsidRDefault="00AA52B5"/>
    <w:p w:rsidR="00AA52B5" w:rsidRDefault="00AA52B5"/>
    <w:p w:rsidR="00AA52B5" w:rsidRDefault="00AA52B5"/>
    <w:p w:rsidR="00AA52B5" w:rsidRDefault="00AA52B5"/>
    <w:p w:rsidR="00AA52B5" w:rsidRDefault="00AA52B5"/>
    <w:p w:rsidR="00405546" w:rsidRDefault="00CA7827" w:rsidP="00405546">
      <w:pPr>
        <w:pStyle w:val="Prrafodelista"/>
        <w:tabs>
          <w:tab w:val="left" w:pos="3456"/>
        </w:tabs>
        <w:ind w:left="284"/>
        <w:jc w:val="both"/>
      </w:pPr>
      <w:r>
        <w:lastRenderedPageBreak/>
        <w:t xml:space="preserve">            </w:t>
      </w:r>
      <w:r w:rsidR="00405546" w:rsidRPr="003D4E91">
        <w:t>A continuación se mostrarán algunos mapas de carácter representativo que nos darán las pautas para conocer y poder resolver los problemas que existen en cada uno de los grupos LEADER, en este caso</w:t>
      </w:r>
      <w:r w:rsidR="00405546">
        <w:t xml:space="preserve"> </w:t>
      </w:r>
      <w:r w:rsidR="00405546" w:rsidRPr="003D4E91">
        <w:t>siendo el Grupo de Acci</w:t>
      </w:r>
      <w:r w:rsidR="00405546">
        <w:t>ón Local ADESHO</w:t>
      </w:r>
      <w:r w:rsidR="00405546" w:rsidRPr="003D4E91">
        <w:t>.</w:t>
      </w:r>
    </w:p>
    <w:p w:rsidR="00405546" w:rsidRDefault="00405546" w:rsidP="00405546">
      <w:pPr>
        <w:pStyle w:val="Prrafodelista"/>
        <w:tabs>
          <w:tab w:val="left" w:pos="3456"/>
        </w:tabs>
        <w:ind w:left="284"/>
        <w:jc w:val="both"/>
      </w:pPr>
      <w:r>
        <w:tab/>
      </w:r>
    </w:p>
    <w:p w:rsidR="00405546" w:rsidRDefault="00405546" w:rsidP="00405546">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CA7827" w:rsidRDefault="00CA7827" w:rsidP="00CA7827">
      <w:pPr>
        <w:pStyle w:val="Prrafodelista"/>
        <w:tabs>
          <w:tab w:val="left" w:pos="3456"/>
        </w:tabs>
        <w:ind w:left="284"/>
        <w:jc w:val="both"/>
      </w:pPr>
      <w:r>
        <w:t xml:space="preserve">                         </w:t>
      </w:r>
    </w:p>
    <w:p w:rsidR="00CA7827" w:rsidRDefault="00CA7827" w:rsidP="00CA7827">
      <w:pPr>
        <w:pStyle w:val="Prrafodelista"/>
        <w:tabs>
          <w:tab w:val="left" w:pos="3456"/>
        </w:tabs>
        <w:ind w:left="284"/>
        <w:jc w:val="both"/>
      </w:pPr>
      <w:r>
        <w:t xml:space="preserve">        Como vemos se trata de un grupo localizado cerca del segundo núcleo a nivel urbano dentro de la Comunidad Autónoma de Aragón. Además abarca todo lo que sería la comarca de la Hoya o Plana de Huesca agrupando a un total de 39 municipios.</w:t>
      </w:r>
    </w:p>
    <w:p w:rsidR="00CA7827" w:rsidRDefault="00CA7827" w:rsidP="00CA7827">
      <w:pPr>
        <w:pStyle w:val="Prrafodelista"/>
        <w:tabs>
          <w:tab w:val="left" w:pos="3456"/>
        </w:tabs>
        <w:ind w:left="284"/>
        <w:jc w:val="both"/>
      </w:pPr>
    </w:p>
    <w:p w:rsidR="00CA7827" w:rsidRDefault="007E3CC5" w:rsidP="00CA7827">
      <w:pPr>
        <w:pStyle w:val="Prrafodelista"/>
        <w:tabs>
          <w:tab w:val="left" w:pos="3456"/>
        </w:tabs>
        <w:ind w:left="28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pt;height:448.8pt">
            <v:imagedata r:id="rId35" o:title="LOC_ADESHO"/>
          </v:shape>
        </w:pict>
      </w:r>
    </w:p>
    <w:p w:rsidR="00CA7827" w:rsidRPr="00DF59C3" w:rsidRDefault="00CA7827" w:rsidP="00CA7827">
      <w:pPr>
        <w:ind w:firstLine="708"/>
        <w:jc w:val="both"/>
        <w:rPr>
          <w:b/>
        </w:rPr>
      </w:pPr>
      <w:r>
        <w:lastRenderedPageBreak/>
        <w:t xml:space="preserve">     </w:t>
      </w:r>
      <w:r w:rsidRPr="003D4E91">
        <w:t xml:space="preserve">A continuación lo que vemos se trata de </w:t>
      </w:r>
      <w:r>
        <w:t>un mapa q</w:t>
      </w:r>
      <w:r w:rsidR="00DF59C3">
        <w:t>ue nos muestra un medio físico con un relieve de escasa entidad con un conjunto de ríos localizados el área más cercana a Huesca. Además el grupo de acción local ADESHO contiene el embalse de la Sotonera inaugurado en 1963 y con una capacidad de 189 hm</w:t>
      </w:r>
      <w:r w:rsidR="00DF59C3" w:rsidRPr="00DF59C3">
        <w:rPr>
          <w:vertAlign w:val="superscript"/>
        </w:rPr>
        <w:t>3</w:t>
      </w:r>
      <w:r w:rsidR="00DF59C3">
        <w:t>.</w:t>
      </w:r>
    </w:p>
    <w:p w:rsidR="00CA7827" w:rsidRDefault="007E3CC5">
      <w:r>
        <w:pict>
          <v:shape id="_x0000_i1026" type="#_x0000_t75" style="width:424.8pt;height:600.8pt">
            <v:imagedata r:id="rId36" o:title="mfisico_adesho"/>
          </v:shape>
        </w:pict>
      </w:r>
      <w:bookmarkStart w:id="0" w:name="_GoBack"/>
      <w:bookmarkEnd w:id="0"/>
    </w:p>
    <w:p w:rsidR="003C7E18" w:rsidRDefault="003C7E18" w:rsidP="003C7E18">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En el caso de ADESHO no existe ningún municipio que presente una tasa de feminidad superior a la de masculinidad por lo que podemos decir que, uno de los problemas que se pueden achacar a esta área es la alta </w:t>
      </w:r>
      <w:r w:rsidRPr="00D139A2">
        <w:rPr>
          <w:b/>
        </w:rPr>
        <w:t xml:space="preserve">masculinización de su población. </w:t>
      </w:r>
    </w:p>
    <w:p w:rsidR="00CA7827" w:rsidRDefault="007E3CC5" w:rsidP="003C7E18">
      <w:pPr>
        <w:jc w:val="center"/>
      </w:pPr>
      <w:r>
        <w:pict>
          <v:shape id="_x0000_i1027" type="#_x0000_t75" style="width:364pt;height:515.2pt">
            <v:imagedata r:id="rId37" o:title="mascufem_densidad"/>
          </v:shape>
        </w:pict>
      </w:r>
    </w:p>
    <w:p w:rsidR="003C7E18" w:rsidRDefault="003C7E18" w:rsidP="003C7E18">
      <w:pPr>
        <w:jc w:val="center"/>
      </w:pPr>
    </w:p>
    <w:p w:rsidR="003C7E18" w:rsidRDefault="003C7E18" w:rsidP="003C7E18">
      <w:pPr>
        <w:jc w:val="center"/>
      </w:pPr>
    </w:p>
    <w:p w:rsidR="003C7E18" w:rsidRDefault="003C7E18" w:rsidP="003C7E18">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C7E18" w:rsidRDefault="007E3CC5" w:rsidP="006053A1">
      <w:pPr>
        <w:ind w:firstLine="708"/>
        <w:jc w:val="center"/>
      </w:pPr>
      <w:r>
        <w:pict>
          <v:shape id="_x0000_i1028" type="#_x0000_t75" style="width:367.2pt;height:476.8pt">
            <v:imagedata r:id="rId38" o:title="envvejaragon_adesho"/>
          </v:shape>
        </w:pict>
      </w:r>
    </w:p>
    <w:p w:rsidR="00E80BDB" w:rsidRDefault="00E80BDB" w:rsidP="003C7E18">
      <w:pPr>
        <w:ind w:firstLine="708"/>
        <w:jc w:val="both"/>
      </w:pPr>
      <w:r>
        <w:t>Lo que pudimos observar es que, en este grupo si existen m</w:t>
      </w:r>
      <w:r w:rsidR="006053A1">
        <w:t>u</w:t>
      </w:r>
      <w:r>
        <w:t xml:space="preserve">nicipios que, aunque con un índice de envejecimiento alto presentan valores inferiores a la media de envejecimiento del total aragonés (110,76%) por lo que podemos decir que se encuentran en una buena situación. Al mismo tiempo, también encontramos municipios con valores medio situados por debajo o igualitarios a la media y, por último valores de envejecimiento representados en tonalidades de rojo de menor a mayor intensidad representando aquellas áreas donde el envejecimiento </w:t>
      </w:r>
      <w:r>
        <w:lastRenderedPageBreak/>
        <w:t xml:space="preserve">es superior a la media aragonesa. Con la gradación en la tonalidad se ha querido expresar la diferenciación entre aquellos municipios que a pesar de estar por encima de la media no presentan valores de envejecimiento excesivamente elevados con respecto a la misma y aquellos otros municipios donde lo valores de envejecimiento superan fuertemente a la media de envejecimiento de Aragón representando un grave problema en los mismos, el </w:t>
      </w:r>
      <w:r w:rsidRPr="00E80BDB">
        <w:rPr>
          <w:b/>
        </w:rPr>
        <w:t>envejecimiento.</w:t>
      </w:r>
      <w:r>
        <w:t xml:space="preserve">  </w:t>
      </w:r>
    </w:p>
    <w:p w:rsidR="00E80BDB" w:rsidRDefault="00E80BDB" w:rsidP="003C7E18">
      <w:pPr>
        <w:ind w:firstLine="708"/>
        <w:jc w:val="both"/>
      </w:pPr>
      <w:r>
        <w:t xml:space="preserve">Entre estos municipios que presentan tan elevados valores de envejecimiento se encuentran Las peñas de Riglos (369,6%), </w:t>
      </w:r>
      <w:r w:rsidR="006053A1">
        <w:t xml:space="preserve">Agüero (554,5%), Alcalá del Obispo (371,4%), </w:t>
      </w:r>
      <w:proofErr w:type="spellStart"/>
      <w:r w:rsidR="006053A1">
        <w:t>Loarre</w:t>
      </w:r>
      <w:proofErr w:type="spellEnd"/>
      <w:r w:rsidR="006053A1">
        <w:t xml:space="preserve"> (446,7%), Salillas (585,7%), Santa Eulalia de Gállego (587,5%), </w:t>
      </w:r>
      <w:proofErr w:type="spellStart"/>
      <w:r w:rsidR="006053A1">
        <w:t>Sesa</w:t>
      </w:r>
      <w:proofErr w:type="spellEnd"/>
      <w:r w:rsidR="006053A1">
        <w:t xml:space="preserve"> (395,2%) y La </w:t>
      </w:r>
      <w:proofErr w:type="spellStart"/>
      <w:r w:rsidR="006053A1">
        <w:t>Sotonera</w:t>
      </w:r>
      <w:proofErr w:type="spellEnd"/>
      <w:r w:rsidR="006053A1">
        <w:t xml:space="preserve"> (308,9%).</w:t>
      </w:r>
    </w:p>
    <w:p w:rsidR="009B762C" w:rsidRPr="00592215" w:rsidRDefault="009B762C" w:rsidP="003C7E18">
      <w:pPr>
        <w:ind w:firstLine="708"/>
        <w:jc w:val="both"/>
      </w:pPr>
      <w:r>
        <w:t>Respecto al envejecimiento también hemos querido analizar si precisamente, esta condición puede guardar relación con otra serie de variables como se muestran en los dos mapas a continuación, el paro y la masculinización de la población.</w:t>
      </w:r>
    </w:p>
    <w:p w:rsidR="003C7E18" w:rsidRDefault="007E3CC5" w:rsidP="003C7E18">
      <w:pPr>
        <w:jc w:val="center"/>
      </w:pPr>
      <w:r>
        <w:pict>
          <v:shape id="_x0000_i1029" type="#_x0000_t75" style="width:331.2pt;height:410.4pt">
            <v:imagedata r:id="rId39" o:title="tasaparo_tasaenvej"/>
          </v:shape>
        </w:pict>
      </w:r>
    </w:p>
    <w:p w:rsidR="009B762C" w:rsidRDefault="009B762C" w:rsidP="009B762C">
      <w:pPr>
        <w:jc w:val="both"/>
      </w:pPr>
      <w:r>
        <w:lastRenderedPageBreak/>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p>
    <w:p w:rsidR="009B762C" w:rsidRDefault="009B762C" w:rsidP="009B762C">
      <w:pPr>
        <w:ind w:firstLine="708"/>
        <w:jc w:val="both"/>
      </w:pPr>
      <w:r>
        <w:t>En este segundo caso hemos querido establecer la relación entre la variable masculinidad y la tasa de envejecimiento para conocer si realmente los municipios que muestran altas tasas de envejecimiento son aquellos donde la tasa de masculinidad es mayor.</w:t>
      </w:r>
    </w:p>
    <w:p w:rsidR="009B762C" w:rsidRDefault="007E3CC5" w:rsidP="009B762C">
      <w:pPr>
        <w:jc w:val="both"/>
      </w:pPr>
      <w:r>
        <w:pict>
          <v:shape id="_x0000_i1030" type="#_x0000_t75" style="width:367.2pt;height:468pt">
            <v:imagedata r:id="rId40" o:title="tasamasc_tasaenvej"/>
          </v:shape>
        </w:pict>
      </w:r>
    </w:p>
    <w:p w:rsidR="009B762C" w:rsidRDefault="00F63325" w:rsidP="00F63325">
      <w:pPr>
        <w:jc w:val="both"/>
      </w:pPr>
      <w:r>
        <w:t xml:space="preserve">            </w:t>
      </w:r>
      <w:r w:rsidR="009B762C">
        <w:t xml:space="preserve">Al representar los valores de las variables en el mapa vemos como prácticamente las tasas de masculinidad son muy parecidas en todos los municipios aunque presentan valores menores de masculinidad en aquellas áreas donde el envejecimiento de población es menor. </w:t>
      </w:r>
      <w:r w:rsidR="009B762C">
        <w:lastRenderedPageBreak/>
        <w:t>Por lo que vemos que el problema del envejecimiento es más característico y no influye tanto en la masculinidad de la población.</w:t>
      </w:r>
    </w:p>
    <w:p w:rsidR="00896FC8" w:rsidRDefault="00896FC8" w:rsidP="00896FC8">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896FC8" w:rsidRDefault="007E3CC5" w:rsidP="00896FC8">
      <w:pPr>
        <w:ind w:firstLine="708"/>
        <w:jc w:val="both"/>
      </w:pPr>
      <w:r>
        <w:pict>
          <v:shape id="_x0000_i1031" type="#_x0000_t75" style="width:358.4pt;height:458.4pt">
            <v:imagedata r:id="rId41" o:title="DEM_ECON_ADESHO"/>
          </v:shape>
        </w:pict>
      </w:r>
    </w:p>
    <w:p w:rsidR="00896FC8" w:rsidRDefault="00896FC8" w:rsidP="00896FC8">
      <w:pPr>
        <w:ind w:firstLine="708"/>
        <w:jc w:val="both"/>
      </w:pPr>
      <w:r>
        <w:t xml:space="preserve">En este primer mapa vemos una clara diferenciación en función de las diferentes actividades económicas desarrolladas en los municipios que se engloban en el grupo ADESHO en función de su densidad. Según lo que podemos apreciar aquellos municipios donde la densidad es media o alta presenta un porcentaje de ocupación sobre el total de actividades mayor en el ámbito de los servicios. Prácticamente en todas las áreas incluso en aquellas </w:t>
      </w:r>
      <w:r>
        <w:lastRenderedPageBreak/>
        <w:t xml:space="preserve">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t>marias aumenta su peso respecto al del sector servicios en los municipios con densidades más bajas aunque nunca llega a superarlo.</w:t>
      </w:r>
    </w:p>
    <w:p w:rsidR="00896FC8" w:rsidRDefault="007E3CC5" w:rsidP="00896FC8">
      <w:pPr>
        <w:jc w:val="center"/>
      </w:pPr>
      <w:r>
        <w:pict>
          <v:shape id="_x0000_i1032" type="#_x0000_t75" style="width:356pt;height:7in">
            <v:imagedata r:id="rId42" o:title="tasaparo_denspob"/>
          </v:shape>
        </w:pict>
      </w:r>
    </w:p>
    <w:p w:rsidR="00BD3F3E" w:rsidRDefault="00460CEE" w:rsidP="00896FC8">
      <w:pPr>
        <w:ind w:firstLine="284"/>
        <w:jc w:val="both"/>
      </w:pPr>
      <w:r w:rsidRPr="00F63325">
        <w:rPr>
          <w:b/>
        </w:rPr>
        <w:t>La tasa de paro</w:t>
      </w:r>
      <w:r w:rsidRPr="00B07BC3">
        <w:rPr>
          <w:b/>
          <w:color w:val="FF0000"/>
        </w:rPr>
        <w:t xml:space="preserve"> </w:t>
      </w:r>
      <w:r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sidR="00896FC8">
        <w:t xml:space="preserve">. Como vemos en el mapa anterior la densidad sí que se trata de una variable que influye en la cantidad de paro en un determinado lugar. </w:t>
      </w:r>
      <w:r w:rsidR="00BD3F3E">
        <w:t xml:space="preserve">Bien es cierto que, aunque existen municipios con un nivel de densidad alto con respecto al resto de municipios como es el caso de </w:t>
      </w:r>
      <w:proofErr w:type="spellStart"/>
      <w:r w:rsidR="000F3047">
        <w:t>I</w:t>
      </w:r>
      <w:r w:rsidR="00BD3F3E">
        <w:t>griés</w:t>
      </w:r>
      <w:proofErr w:type="spellEnd"/>
      <w:r w:rsidR="00BD3F3E">
        <w:t xml:space="preserve">, Banastas y </w:t>
      </w:r>
      <w:proofErr w:type="spellStart"/>
      <w:r w:rsidR="00BD3F3E">
        <w:t>Quicena</w:t>
      </w:r>
      <w:proofErr w:type="spellEnd"/>
      <w:r w:rsidR="00BD3F3E">
        <w:t xml:space="preserve"> su superficie es </w:t>
      </w:r>
      <w:r w:rsidR="00BD3F3E">
        <w:lastRenderedPageBreak/>
        <w:t>pequeña con respecto a la de los demás municipios además de su total de población y por eso, en ellos no se cumple esta relación ya que, en una superficie pequeña con una población baja los niveles de paro con respecto a los demás siempre serán bajos.</w:t>
      </w:r>
    </w:p>
    <w:p w:rsidR="00896FC8" w:rsidRDefault="00BD3F3E" w:rsidP="00DE724F">
      <w:pPr>
        <w:ind w:firstLine="284"/>
        <w:jc w:val="both"/>
      </w:pPr>
      <w:r>
        <w:t xml:space="preserve">En el conjunto general, lo que se observa es que </w:t>
      </w:r>
      <w:r w:rsidR="00896FC8">
        <w:t xml:space="preserve">aquellos municipios donde la densidad </w:t>
      </w:r>
      <w:r>
        <w:t>de población es</w:t>
      </w:r>
      <w:r w:rsidR="00896FC8">
        <w:t xml:space="preserve"> más baja </w:t>
      </w:r>
      <w:r>
        <w:t xml:space="preserve">representan </w:t>
      </w:r>
      <w:r w:rsidR="00896FC8">
        <w:t xml:space="preserve">los lugares donde la tasa de paro </w:t>
      </w:r>
      <w:r>
        <w:t>es menor.</w:t>
      </w:r>
      <w:r w:rsidR="00DE724F">
        <w:t xml:space="preserve"> </w:t>
      </w:r>
      <w:proofErr w:type="spellStart"/>
      <w:r w:rsidR="007B7CDD">
        <w:t>Almudé</w:t>
      </w:r>
      <w:r>
        <w:t>var</w:t>
      </w:r>
      <w:proofErr w:type="spellEnd"/>
      <w:r>
        <w:t xml:space="preserve"> (21,7%), </w:t>
      </w:r>
      <w:proofErr w:type="spellStart"/>
      <w:r>
        <w:t>Gurrea</w:t>
      </w:r>
      <w:proofErr w:type="spellEnd"/>
      <w:r>
        <w:t xml:space="preserve"> de Gállego (14,6%), </w:t>
      </w:r>
      <w:proofErr w:type="spellStart"/>
      <w:r>
        <w:t>Ayerbe</w:t>
      </w:r>
      <w:proofErr w:type="spellEnd"/>
      <w:r>
        <w:t xml:space="preserve"> (7,9%), </w:t>
      </w:r>
      <w:proofErr w:type="spellStart"/>
      <w:r>
        <w:t>Igriés</w:t>
      </w:r>
      <w:proofErr w:type="spellEnd"/>
      <w:r>
        <w:t xml:space="preserve"> (6,75%), </w:t>
      </w:r>
      <w:proofErr w:type="spellStart"/>
      <w:r>
        <w:t>Tierz</w:t>
      </w:r>
      <w:proofErr w:type="spellEnd"/>
      <w:r>
        <w:t xml:space="preserve"> (5,75%), y La </w:t>
      </w:r>
      <w:proofErr w:type="spellStart"/>
      <w:r>
        <w:t>Sotonera</w:t>
      </w:r>
      <w:proofErr w:type="spellEnd"/>
      <w:r>
        <w:t xml:space="preserve"> (5,32%) son los</w:t>
      </w:r>
      <w:r w:rsidR="00896FC8">
        <w:t xml:space="preserve"> municipios que muestran las mayores tasas de paro de todo el grupo ADE</w:t>
      </w:r>
      <w:r w:rsidR="00DE724F">
        <w:t>SHO</w:t>
      </w:r>
      <w:r w:rsidR="00896FC8">
        <w:t xml:space="preserve">. </w:t>
      </w:r>
    </w:p>
    <w:p w:rsidR="00EE4E9C" w:rsidRDefault="00EE4E9C" w:rsidP="00EE4E9C">
      <w:pPr>
        <w:ind w:firstLine="284"/>
        <w:jc w:val="both"/>
      </w:pPr>
      <w:r>
        <w:t>Pero, más allá de lo que sería conocer la tasa de paro total sobre la densidad de población en el grupo ADESHO 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p w:rsidR="00EE4E9C" w:rsidRDefault="007E3CC5" w:rsidP="00EE4E9C">
      <w:pPr>
        <w:ind w:firstLine="284"/>
        <w:jc w:val="center"/>
      </w:pPr>
      <w:r>
        <w:pict>
          <v:shape id="_x0000_i1033" type="#_x0000_t75" style="width:331.2pt;height:417.6pt">
            <v:imagedata r:id="rId43" o:title="densi_parohommuj"/>
          </v:shape>
        </w:pict>
      </w:r>
    </w:p>
    <w:p w:rsidR="00EE4E9C" w:rsidRDefault="00EE4E9C" w:rsidP="00EE4E9C">
      <w:pPr>
        <w:ind w:firstLine="284"/>
        <w:jc w:val="both"/>
      </w:pPr>
      <w:r>
        <w:t xml:space="preserve">En este caso vemos como al establecer la diferenciación en el paro de hombres y mujeres encontramos una gran diversidad de datos ya que se ve como dentro del grupo ADESHO </w:t>
      </w:r>
      <w:r>
        <w:lastRenderedPageBreak/>
        <w:t>existen las tres posibilidades: municipios con una tasa de paro igual entre hombre y mujeres y municipios donde existe mayor tasa de paro en hombres que en mujeres y viceversa. Levemente se observa como aquellos municipios donde la densidad es menor tienen tasas de paro mayores en hombres que en mujeres como es el caso de Agüero (</w:t>
      </w:r>
      <w:r w:rsidR="00A63D05">
        <w:t>0,43% paro hombres)</w:t>
      </w:r>
      <w:r>
        <w:t xml:space="preserve"> y Santa Eulalia de Gállego</w:t>
      </w:r>
      <w:r w:rsidR="00A63D05">
        <w:t xml:space="preserve"> (0,14% paro mujeres)</w:t>
      </w:r>
      <w:r>
        <w:t>.</w:t>
      </w:r>
    </w:p>
    <w:p w:rsidR="0032040B" w:rsidRDefault="0032040B" w:rsidP="0032040B">
      <w:pPr>
        <w:ind w:firstLine="708"/>
        <w:jc w:val="both"/>
      </w:pPr>
      <w:r>
        <w:t xml:space="preserve">En cuanto a la tasa de feminidad respecto a la tasa de paro en mujeres, podemos ver como en el mapa apenas se aprecian áreas con tasas de paro elevadas en mujeres a excepción del caso de  </w:t>
      </w:r>
      <w:proofErr w:type="spellStart"/>
      <w:r w:rsidR="008A6C2F">
        <w:t>Almudé</w:t>
      </w:r>
      <w:r>
        <w:t>var</w:t>
      </w:r>
      <w:proofErr w:type="spellEnd"/>
      <w:r>
        <w:t xml:space="preserve"> y </w:t>
      </w:r>
      <w:proofErr w:type="spellStart"/>
      <w:r>
        <w:t>Gurrea</w:t>
      </w:r>
      <w:proofErr w:type="spellEnd"/>
      <w:r>
        <w:t xml:space="preserve"> de Gállego.</w:t>
      </w:r>
    </w:p>
    <w:p w:rsidR="0032040B" w:rsidRDefault="007E3CC5" w:rsidP="0032040B">
      <w:pPr>
        <w:ind w:firstLine="708"/>
        <w:jc w:val="center"/>
      </w:pPr>
      <w:r>
        <w:pict>
          <v:shape id="_x0000_i1034" type="#_x0000_t75" style="width:364pt;height:442.4pt">
            <v:imagedata r:id="rId44" o:title="tasafem_tasaparofem"/>
          </v:shape>
        </w:pict>
      </w:r>
    </w:p>
    <w:p w:rsidR="001C73DB" w:rsidRDefault="001C73DB" w:rsidP="0032040B">
      <w:pPr>
        <w:ind w:firstLine="708"/>
        <w:jc w:val="center"/>
      </w:pPr>
    </w:p>
    <w:p w:rsidR="001C73DB" w:rsidRDefault="001C73DB" w:rsidP="001C73DB">
      <w:pPr>
        <w:ind w:firstLine="708"/>
        <w:jc w:val="both"/>
      </w:pPr>
      <w:r>
        <w:t xml:space="preserve">Por otro lado vemos el mapa referente a la tasa de masculinidad respecto a la tasa de paro en hombres y, lo que observamos es que, </w:t>
      </w:r>
      <w:r w:rsidR="00CB17F2">
        <w:t xml:space="preserve">en este caso no existe relación entre la tasa de masculinidad y el paro en hombres pues existen municipios con tasas de paro bajas y tasas de </w:t>
      </w:r>
      <w:r w:rsidR="00CB17F2">
        <w:lastRenderedPageBreak/>
        <w:t xml:space="preserve">masculinidad altas como es el caso de Agüero o las Peñas de Riglos y, áreas donde la tasa de masculinidad es menor pero la tasa de paro en hombres es alta como es el caso de </w:t>
      </w:r>
      <w:proofErr w:type="spellStart"/>
      <w:r w:rsidR="008A6C2F">
        <w:t>Almudé</w:t>
      </w:r>
      <w:r w:rsidR="00CB17F2">
        <w:t>var</w:t>
      </w:r>
      <w:proofErr w:type="spellEnd"/>
      <w:r w:rsidR="00CB17F2">
        <w:t xml:space="preserve"> o </w:t>
      </w:r>
      <w:proofErr w:type="spellStart"/>
      <w:r w:rsidR="00CB17F2">
        <w:t>Gurrea</w:t>
      </w:r>
      <w:proofErr w:type="spellEnd"/>
      <w:r w:rsidR="00CB17F2">
        <w:t xml:space="preserve"> de Gállego. </w:t>
      </w:r>
    </w:p>
    <w:p w:rsidR="001C73DB" w:rsidRDefault="007E3CC5" w:rsidP="001C73DB">
      <w:pPr>
        <w:jc w:val="center"/>
      </w:pPr>
      <w:r>
        <w:pict>
          <v:shape id="_x0000_i1035" type="#_x0000_t75" style="width:350.4pt;height:496.8pt">
            <v:imagedata r:id="rId45" o:title="mascu_parohom"/>
          </v:shape>
        </w:pict>
      </w:r>
    </w:p>
    <w:p w:rsidR="0032040B" w:rsidRDefault="008A6C2F" w:rsidP="008A6C2F">
      <w:pPr>
        <w:ind w:firstLine="284"/>
        <w:jc w:val="center"/>
      </w:pPr>
      <w:r>
        <w:lastRenderedPageBreak/>
        <w:t>Otra última relación que nos resultó interesante a la hora de realizar el análisis sobre la tasa de paro en el grupo ADESHO fue la del paro total y la tasa de masculinidad</w:t>
      </w:r>
      <w:r w:rsidRPr="0010130B">
        <w:t xml:space="preserve"> </w:t>
      </w:r>
      <w:r>
        <w:t>de cada municipio.</w:t>
      </w:r>
      <w:r w:rsidR="007E3CC5">
        <w:pict>
          <v:shape id="_x0000_i1036" type="#_x0000_t75" style="width:424.8pt;height:572pt">
            <v:imagedata r:id="rId46" o:title="tasamasc_tasaparo"/>
          </v:shape>
        </w:pict>
      </w:r>
    </w:p>
    <w:p w:rsidR="008A6C2F" w:rsidRDefault="008A6C2F" w:rsidP="008A6C2F">
      <w:pPr>
        <w:ind w:firstLine="708"/>
        <w:jc w:val="both"/>
      </w:pPr>
      <w:r>
        <w:t xml:space="preserve">Al relacionar estas variables observamos </w:t>
      </w:r>
      <w:proofErr w:type="gramStart"/>
      <w:r>
        <w:t>tanto</w:t>
      </w:r>
      <w:proofErr w:type="gramEnd"/>
      <w:r>
        <w:t xml:space="preserve"> municipios donde la masculinidad es baja y la tasa de paro es alta y el caso contrario, áreas donde la tasa de masculinidad es alta y la tasa de paro baja.</w:t>
      </w:r>
    </w:p>
    <w:p w:rsidR="00F038C6" w:rsidRDefault="008A6C2F" w:rsidP="002530C0">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p>
    <w:p w:rsidR="002530C0" w:rsidRDefault="007E3CC5" w:rsidP="002530C0">
      <w:pPr>
        <w:jc w:val="center"/>
      </w:pPr>
      <w:r>
        <w:pict>
          <v:shape id="_x0000_i1037" type="#_x0000_t75" style="width:424.8pt;height:513.6pt">
            <v:imagedata r:id="rId47" o:title="altassegsocial_tasamasc"/>
          </v:shape>
        </w:pict>
      </w:r>
    </w:p>
    <w:p w:rsidR="00896FC8" w:rsidRDefault="002530C0" w:rsidP="007C4AE4">
      <w:pPr>
        <w:ind w:firstLine="708"/>
        <w:jc w:val="both"/>
      </w:pPr>
      <w:r>
        <w:t>Analizando el mapa vemos como todos los municipios muestran una clara mayoría de altas a la seguridad social durante el periodo de septiembre de 2014 en hombres respecto a mujeres.</w:t>
      </w:r>
    </w:p>
    <w:p w:rsidR="00896FC8" w:rsidRDefault="00896FC8" w:rsidP="00896FC8">
      <w:pPr>
        <w:ind w:firstLine="708"/>
        <w:jc w:val="both"/>
      </w:pPr>
    </w:p>
    <w:p w:rsidR="009B762C" w:rsidRDefault="009B762C" w:rsidP="007C4AE4">
      <w:pPr>
        <w:jc w:val="both"/>
      </w:pPr>
    </w:p>
    <w:sectPr w:rsidR="009B762C" w:rsidSect="005047FE">
      <w:headerReference w:type="default" r:id="rId48"/>
      <w:footerReference w:type="default" r:id="rId4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9C4" w:rsidRDefault="006909C4" w:rsidP="005047FE">
      <w:pPr>
        <w:spacing w:after="0" w:line="240" w:lineRule="auto"/>
      </w:pPr>
      <w:r>
        <w:separator/>
      </w:r>
    </w:p>
  </w:endnote>
  <w:endnote w:type="continuationSeparator" w:id="0">
    <w:p w:rsidR="006909C4" w:rsidRDefault="006909C4"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editId="4B7418A0">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7E3CC5" w:rsidRPr="007E3CC5">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14</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8"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7E3CC5" w:rsidRPr="007E3CC5">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14</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9C4" w:rsidRDefault="006909C4" w:rsidP="005047FE">
      <w:pPr>
        <w:spacing w:after="0" w:line="240" w:lineRule="auto"/>
      </w:pPr>
      <w:r>
        <w:separator/>
      </w:r>
    </w:p>
  </w:footnote>
  <w:footnote w:type="continuationSeparator" w:id="0">
    <w:p w:rsidR="006909C4" w:rsidRDefault="006909C4"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5047FE" w:rsidP="005047FE">
              <w:pPr>
                <w:pStyle w:val="Encabezado"/>
                <w:jc w:val="center"/>
                <w:rPr>
                  <w:caps/>
                  <w:color w:val="FFFFFF" w:themeColor="background1"/>
                </w:rPr>
              </w:pPr>
              <w:r>
                <w:rPr>
                  <w:caps/>
                  <w:color w:val="FFFFFF" w:themeColor="background1"/>
                </w:rPr>
                <w:t>Caracterización territorial de la Hoya de Huesca/Plana de Uesca. Asociación para el Desarrollo Rural Comarcal de la Hoya de Huesca (ADESHO)</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0E542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1DA8"/>
    <w:rsid w:val="00030527"/>
    <w:rsid w:val="00064CFF"/>
    <w:rsid w:val="000B4043"/>
    <w:rsid w:val="000D04E2"/>
    <w:rsid w:val="000E24E8"/>
    <w:rsid w:val="000F3047"/>
    <w:rsid w:val="00172F65"/>
    <w:rsid w:val="00183475"/>
    <w:rsid w:val="00187242"/>
    <w:rsid w:val="00195345"/>
    <w:rsid w:val="001C43A9"/>
    <w:rsid w:val="001C73DB"/>
    <w:rsid w:val="001D306F"/>
    <w:rsid w:val="00224987"/>
    <w:rsid w:val="00226733"/>
    <w:rsid w:val="002530C0"/>
    <w:rsid w:val="0032040B"/>
    <w:rsid w:val="003B3FA0"/>
    <w:rsid w:val="003B483B"/>
    <w:rsid w:val="003C7E18"/>
    <w:rsid w:val="00405546"/>
    <w:rsid w:val="00425194"/>
    <w:rsid w:val="0045655C"/>
    <w:rsid w:val="00460CEE"/>
    <w:rsid w:val="00461AF1"/>
    <w:rsid w:val="005047FE"/>
    <w:rsid w:val="00533C22"/>
    <w:rsid w:val="0056525A"/>
    <w:rsid w:val="005F081D"/>
    <w:rsid w:val="005F667E"/>
    <w:rsid w:val="006053A1"/>
    <w:rsid w:val="00621E87"/>
    <w:rsid w:val="00625A65"/>
    <w:rsid w:val="00670D8F"/>
    <w:rsid w:val="006815BA"/>
    <w:rsid w:val="006909C4"/>
    <w:rsid w:val="006F1599"/>
    <w:rsid w:val="00726F58"/>
    <w:rsid w:val="007412AE"/>
    <w:rsid w:val="0076216D"/>
    <w:rsid w:val="007766AE"/>
    <w:rsid w:val="007A6816"/>
    <w:rsid w:val="007B7CDD"/>
    <w:rsid w:val="007C4AE4"/>
    <w:rsid w:val="007E3CC5"/>
    <w:rsid w:val="00806DE7"/>
    <w:rsid w:val="008560AC"/>
    <w:rsid w:val="00896FC8"/>
    <w:rsid w:val="008A6C2F"/>
    <w:rsid w:val="00906EF5"/>
    <w:rsid w:val="009257EF"/>
    <w:rsid w:val="0092710E"/>
    <w:rsid w:val="00967B27"/>
    <w:rsid w:val="00984B58"/>
    <w:rsid w:val="009B762C"/>
    <w:rsid w:val="009C5896"/>
    <w:rsid w:val="009F1E77"/>
    <w:rsid w:val="00A1474F"/>
    <w:rsid w:val="00A6159B"/>
    <w:rsid w:val="00A63D05"/>
    <w:rsid w:val="00AA52B5"/>
    <w:rsid w:val="00AC62B9"/>
    <w:rsid w:val="00AE2DFC"/>
    <w:rsid w:val="00B01298"/>
    <w:rsid w:val="00B12763"/>
    <w:rsid w:val="00B12E0D"/>
    <w:rsid w:val="00B26632"/>
    <w:rsid w:val="00B32B00"/>
    <w:rsid w:val="00B50C23"/>
    <w:rsid w:val="00B52B6F"/>
    <w:rsid w:val="00BA2B3D"/>
    <w:rsid w:val="00BC4612"/>
    <w:rsid w:val="00BD26B4"/>
    <w:rsid w:val="00BD3F3E"/>
    <w:rsid w:val="00BF42DB"/>
    <w:rsid w:val="00C10303"/>
    <w:rsid w:val="00C6493A"/>
    <w:rsid w:val="00CA7827"/>
    <w:rsid w:val="00CB17F2"/>
    <w:rsid w:val="00CC2CDC"/>
    <w:rsid w:val="00CF506D"/>
    <w:rsid w:val="00D14D7A"/>
    <w:rsid w:val="00DA13D3"/>
    <w:rsid w:val="00DE724F"/>
    <w:rsid w:val="00DF59C3"/>
    <w:rsid w:val="00E278F1"/>
    <w:rsid w:val="00E373D3"/>
    <w:rsid w:val="00E562F3"/>
    <w:rsid w:val="00E80BDB"/>
    <w:rsid w:val="00E87CD9"/>
    <w:rsid w:val="00EE4E9C"/>
    <w:rsid w:val="00EE76FE"/>
    <w:rsid w:val="00F038C6"/>
    <w:rsid w:val="00F2268A"/>
    <w:rsid w:val="00F53D83"/>
    <w:rsid w:val="00F63325"/>
    <w:rsid w:val="00FD1E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table" w:styleId="Sombreadomedio1-nfasis4">
    <w:name w:val="Medium Shading 1 Accent 4"/>
    <w:basedOn w:val="Tablanormal"/>
    <w:uiPriority w:val="63"/>
    <w:rsid w:val="00AA52B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table" w:styleId="Sombreadomedio1-nfasis4">
    <w:name w:val="Medium Shading 1 Accent 4"/>
    <w:basedOn w:val="Tablanormal"/>
    <w:uiPriority w:val="63"/>
    <w:rsid w:val="00AA52B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2229">
      <w:bodyDiv w:val="1"/>
      <w:marLeft w:val="0"/>
      <w:marRight w:val="0"/>
      <w:marTop w:val="0"/>
      <w:marBottom w:val="0"/>
      <w:divBdr>
        <w:top w:val="none" w:sz="0" w:space="0" w:color="auto"/>
        <w:left w:val="none" w:sz="0" w:space="0" w:color="auto"/>
        <w:bottom w:val="none" w:sz="0" w:space="0" w:color="auto"/>
        <w:right w:val="none" w:sz="0" w:space="0" w:color="auto"/>
      </w:divBdr>
    </w:div>
    <w:div w:id="344291267">
      <w:bodyDiv w:val="1"/>
      <w:marLeft w:val="0"/>
      <w:marRight w:val="0"/>
      <w:marTop w:val="0"/>
      <w:marBottom w:val="0"/>
      <w:divBdr>
        <w:top w:val="none" w:sz="0" w:space="0" w:color="auto"/>
        <w:left w:val="none" w:sz="0" w:space="0" w:color="auto"/>
        <w:bottom w:val="none" w:sz="0" w:space="0" w:color="auto"/>
        <w:right w:val="none" w:sz="0" w:space="0" w:color="auto"/>
      </w:divBdr>
    </w:div>
    <w:div w:id="490634637">
      <w:bodyDiv w:val="1"/>
      <w:marLeft w:val="0"/>
      <w:marRight w:val="0"/>
      <w:marTop w:val="0"/>
      <w:marBottom w:val="0"/>
      <w:divBdr>
        <w:top w:val="none" w:sz="0" w:space="0" w:color="auto"/>
        <w:left w:val="none" w:sz="0" w:space="0" w:color="auto"/>
        <w:bottom w:val="none" w:sz="0" w:space="0" w:color="auto"/>
        <w:right w:val="none" w:sz="0" w:space="0" w:color="auto"/>
      </w:divBdr>
    </w:div>
    <w:div w:id="683635150">
      <w:bodyDiv w:val="1"/>
      <w:marLeft w:val="0"/>
      <w:marRight w:val="0"/>
      <w:marTop w:val="0"/>
      <w:marBottom w:val="0"/>
      <w:divBdr>
        <w:top w:val="none" w:sz="0" w:space="0" w:color="auto"/>
        <w:left w:val="none" w:sz="0" w:space="0" w:color="auto"/>
        <w:bottom w:val="none" w:sz="0" w:space="0" w:color="auto"/>
        <w:right w:val="none" w:sz="0" w:space="0" w:color="auto"/>
      </w:divBdr>
    </w:div>
    <w:div w:id="1062364054">
      <w:bodyDiv w:val="1"/>
      <w:marLeft w:val="0"/>
      <w:marRight w:val="0"/>
      <w:marTop w:val="0"/>
      <w:marBottom w:val="0"/>
      <w:divBdr>
        <w:top w:val="none" w:sz="0" w:space="0" w:color="auto"/>
        <w:left w:val="none" w:sz="0" w:space="0" w:color="auto"/>
        <w:bottom w:val="none" w:sz="0" w:space="0" w:color="auto"/>
        <w:right w:val="none" w:sz="0" w:space="0" w:color="auto"/>
      </w:divBdr>
    </w:div>
    <w:div w:id="1094667828">
      <w:bodyDiv w:val="1"/>
      <w:marLeft w:val="0"/>
      <w:marRight w:val="0"/>
      <w:marTop w:val="0"/>
      <w:marBottom w:val="0"/>
      <w:divBdr>
        <w:top w:val="none" w:sz="0" w:space="0" w:color="auto"/>
        <w:left w:val="none" w:sz="0" w:space="0" w:color="auto"/>
        <w:bottom w:val="none" w:sz="0" w:space="0" w:color="auto"/>
        <w:right w:val="none" w:sz="0" w:space="0" w:color="auto"/>
      </w:divBdr>
    </w:div>
    <w:div w:id="125285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emf"/><Relationship Id="rId26" Type="http://schemas.openxmlformats.org/officeDocument/2006/relationships/chart" Target="charts/chart7.xml"/><Relationship Id="rId39" Type="http://schemas.openxmlformats.org/officeDocument/2006/relationships/image" Target="media/image13.jpeg"/><Relationship Id="rId21" Type="http://schemas.openxmlformats.org/officeDocument/2006/relationships/image" Target="media/image6.emf"/><Relationship Id="rId34" Type="http://schemas.openxmlformats.org/officeDocument/2006/relationships/chart" Target="charts/chart13.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8.xml"/><Relationship Id="rId11" Type="http://schemas.openxmlformats.org/officeDocument/2006/relationships/diagramLayout" Target="diagrams/layout1.xml"/><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image" Target="media/image8.png"/><Relationship Id="rId36" Type="http://schemas.openxmlformats.org/officeDocument/2006/relationships/image" Target="media/image10.jpeg"/><Relationship Id="rId49"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4.emf"/><Relationship Id="rId31" Type="http://schemas.openxmlformats.org/officeDocument/2006/relationships/chart" Target="charts/chart10.xml"/><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diagramDrawing" Target="diagrams/drawing1.xml"/><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chart" Target="charts/chart9.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2.emf"/><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image" Target="media/image5.emf"/><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ownload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ownload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ownload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ownload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ownload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ownload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ownload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ownload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ownload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ownload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ownload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ownload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ownload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a:pPr>
            <a:r>
              <a:rPr lang="es-ES" sz="1400"/>
              <a:t>Pirámide de población</a:t>
            </a:r>
            <a:r>
              <a:rPr lang="es-ES" sz="1400" baseline="0"/>
              <a:t> ADESHO</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manualLayout>
          <c:layoutTarget val="inner"/>
          <c:xMode val="edge"/>
          <c:yMode val="edge"/>
          <c:x val="0.15671801573326538"/>
          <c:y val="0.13798363095238095"/>
          <c:w val="0.81749670531689866"/>
          <c:h val="0.72033886389201351"/>
        </c:manualLayout>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2.1182700794351281E-2</c:v>
                </c:pt>
                <c:pt idx="1">
                  <c:v>2.0615307023074014E-2</c:v>
                </c:pt>
                <c:pt idx="2">
                  <c:v>1.8219644433236665E-2</c:v>
                </c:pt>
                <c:pt idx="3">
                  <c:v>1.4878325557937208E-2</c:v>
                </c:pt>
                <c:pt idx="4">
                  <c:v>1.7084856890682135E-2</c:v>
                </c:pt>
                <c:pt idx="5">
                  <c:v>2.0615307023074014E-2</c:v>
                </c:pt>
                <c:pt idx="6">
                  <c:v>3.0197957382423403E-2</c:v>
                </c:pt>
                <c:pt idx="7">
                  <c:v>3.7069726390114736E-2</c:v>
                </c:pt>
                <c:pt idx="8">
                  <c:v>3.4106670029000127E-2</c:v>
                </c:pt>
                <c:pt idx="9">
                  <c:v>3.3034926238809735E-2</c:v>
                </c:pt>
                <c:pt idx="10">
                  <c:v>3.0828394906064809E-2</c:v>
                </c:pt>
                <c:pt idx="11">
                  <c:v>2.9315344849325433E-2</c:v>
                </c:pt>
                <c:pt idx="12">
                  <c:v>2.7802294792586054E-2</c:v>
                </c:pt>
                <c:pt idx="13">
                  <c:v>2.9441432354053713E-2</c:v>
                </c:pt>
                <c:pt idx="14">
                  <c:v>2.0867482032530575E-2</c:v>
                </c:pt>
                <c:pt idx="15">
                  <c:v>2.8810994830412308E-2</c:v>
                </c:pt>
                <c:pt idx="16">
                  <c:v>2.4650107174379019E-2</c:v>
                </c:pt>
                <c:pt idx="17">
                  <c:v>1.8534863195057368E-2</c:v>
                </c:pt>
                <c:pt idx="18">
                  <c:v>9.5196066069852484E-3</c:v>
                </c:pt>
                <c:pt idx="19">
                  <c:v>2.8369688563863321E-3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-2.0174000756525028E-2</c:v>
                </c:pt>
                <c:pt idx="1">
                  <c:v>-2.1687050813264407E-2</c:v>
                </c:pt>
                <c:pt idx="2">
                  <c:v>-1.7526163157231118E-2</c:v>
                </c:pt>
                <c:pt idx="3">
                  <c:v>-1.7904425671415963E-2</c:v>
                </c:pt>
                <c:pt idx="4">
                  <c:v>-2.0804438280166437E-2</c:v>
                </c:pt>
                <c:pt idx="5">
                  <c:v>-2.2884882108183079E-2</c:v>
                </c:pt>
                <c:pt idx="6">
                  <c:v>-3.5682763838103641E-2</c:v>
                </c:pt>
                <c:pt idx="7">
                  <c:v>-4.482410793090405E-2</c:v>
                </c:pt>
                <c:pt idx="8">
                  <c:v>-4.6526289244735848E-2</c:v>
                </c:pt>
                <c:pt idx="9">
                  <c:v>-4.2554532845794982E-2</c:v>
                </c:pt>
                <c:pt idx="10">
                  <c:v>-4.0600176522506623E-2</c:v>
                </c:pt>
                <c:pt idx="11">
                  <c:v>-3.5493632581011222E-2</c:v>
                </c:pt>
                <c:pt idx="12">
                  <c:v>-3.5493632581011222E-2</c:v>
                </c:pt>
                <c:pt idx="13">
                  <c:v>-3.3980582524271843E-2</c:v>
                </c:pt>
                <c:pt idx="14">
                  <c:v>-2.2569663346362377E-2</c:v>
                </c:pt>
                <c:pt idx="15">
                  <c:v>-2.7045769764216365E-2</c:v>
                </c:pt>
                <c:pt idx="16">
                  <c:v>-2.2821838355818937E-2</c:v>
                </c:pt>
                <c:pt idx="17">
                  <c:v>-1.6202244357584165E-2</c:v>
                </c:pt>
                <c:pt idx="18">
                  <c:v>-4.5391501702181317E-3</c:v>
                </c:pt>
                <c:pt idx="19">
                  <c:v>-1.0717437901903921E-3</c:v>
                </c:pt>
              </c:numCache>
            </c:numRef>
          </c:val>
        </c:ser>
        <c:dLbls>
          <c:showLegendKey val="0"/>
          <c:showVal val="0"/>
          <c:showCatName val="0"/>
          <c:showSerName val="0"/>
          <c:showPercent val="0"/>
          <c:showBubbleSize val="0"/>
        </c:dLbls>
        <c:gapWidth val="150"/>
        <c:axId val="116700160"/>
        <c:axId val="111985792"/>
      </c:barChart>
      <c:catAx>
        <c:axId val="116700160"/>
        <c:scaling>
          <c:orientation val="minMax"/>
        </c:scaling>
        <c:delete val="0"/>
        <c:axPos val="l"/>
        <c:majorTickMark val="out"/>
        <c:minorTickMark val="none"/>
        <c:tickLblPos val="low"/>
        <c:crossAx val="111985792"/>
        <c:crosses val="autoZero"/>
        <c:auto val="1"/>
        <c:lblAlgn val="ctr"/>
        <c:lblOffset val="100"/>
        <c:noMultiLvlLbl val="0"/>
      </c:catAx>
      <c:valAx>
        <c:axId val="111985792"/>
        <c:scaling>
          <c:orientation val="minMax"/>
        </c:scaling>
        <c:delete val="1"/>
        <c:axPos val="b"/>
        <c:majorGridlines/>
        <c:numFmt formatCode="General" sourceLinked="1"/>
        <c:majorTickMark val="out"/>
        <c:minorTickMark val="none"/>
        <c:tickLblPos val="nextTo"/>
        <c:crossAx val="1167001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a:ln>
      <a:solidFill>
        <a:schemeClr val="accent4"/>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a:pPr>
            <a:r>
              <a:rPr lang="es-ES" sz="1400"/>
              <a:t>ADESHO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2839273088043124E-2"/>
          <c:y val="0.12858065818695741"/>
          <c:w val="0.87309396621614122"/>
          <c:h val="0.64673213925182427"/>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8</c:v>
                </c:pt>
                <c:pt idx="1">
                  <c:v>80</c:v>
                </c:pt>
                <c:pt idx="2">
                  <c:v>184</c:v>
                </c:pt>
                <c:pt idx="3">
                  <c:v>304</c:v>
                </c:pt>
                <c:pt idx="4">
                  <c:v>366</c:v>
                </c:pt>
                <c:pt idx="5">
                  <c:v>397</c:v>
                </c:pt>
                <c:pt idx="6">
                  <c:v>345</c:v>
                </c:pt>
                <c:pt idx="7">
                  <c:v>354</c:v>
                </c:pt>
                <c:pt idx="8">
                  <c:v>281</c:v>
                </c:pt>
                <c:pt idx="9">
                  <c:v>187</c:v>
                </c:pt>
                <c:pt idx="10">
                  <c:v>42</c:v>
                </c:pt>
                <c:pt idx="11">
                  <c:v>8</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3</c:v>
                </c:pt>
                <c:pt idx="1">
                  <c:v>47</c:v>
                </c:pt>
                <c:pt idx="2">
                  <c:v>87</c:v>
                </c:pt>
                <c:pt idx="3">
                  <c:v>126</c:v>
                </c:pt>
                <c:pt idx="4">
                  <c:v>183</c:v>
                </c:pt>
                <c:pt idx="5">
                  <c:v>186</c:v>
                </c:pt>
                <c:pt idx="6">
                  <c:v>183</c:v>
                </c:pt>
                <c:pt idx="7">
                  <c:v>150</c:v>
                </c:pt>
                <c:pt idx="8">
                  <c:v>110</c:v>
                </c:pt>
                <c:pt idx="9">
                  <c:v>97</c:v>
                </c:pt>
                <c:pt idx="10">
                  <c:v>19</c:v>
                </c:pt>
                <c:pt idx="11">
                  <c:v>2</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11</c:v>
                </c:pt>
                <c:pt idx="1">
                  <c:v>127</c:v>
                </c:pt>
                <c:pt idx="2">
                  <c:v>271</c:v>
                </c:pt>
                <c:pt idx="3">
                  <c:v>430</c:v>
                </c:pt>
                <c:pt idx="4">
                  <c:v>549</c:v>
                </c:pt>
                <c:pt idx="5">
                  <c:v>583</c:v>
                </c:pt>
                <c:pt idx="6">
                  <c:v>528</c:v>
                </c:pt>
                <c:pt idx="7">
                  <c:v>504</c:v>
                </c:pt>
                <c:pt idx="8">
                  <c:v>391</c:v>
                </c:pt>
                <c:pt idx="9">
                  <c:v>284</c:v>
                </c:pt>
                <c:pt idx="10">
                  <c:v>61</c:v>
                </c:pt>
                <c:pt idx="11">
                  <c:v>10</c:v>
                </c:pt>
              </c:numCache>
            </c:numRef>
          </c:val>
        </c:ser>
        <c:dLbls>
          <c:showLegendKey val="0"/>
          <c:showVal val="0"/>
          <c:showCatName val="0"/>
          <c:showSerName val="0"/>
          <c:showPercent val="0"/>
          <c:showBubbleSize val="0"/>
        </c:dLbls>
        <c:gapWidth val="150"/>
        <c:axId val="117341696"/>
        <c:axId val="117455040"/>
      </c:barChart>
      <c:catAx>
        <c:axId val="117341696"/>
        <c:scaling>
          <c:orientation val="minMax"/>
        </c:scaling>
        <c:delete val="0"/>
        <c:axPos val="b"/>
        <c:majorTickMark val="out"/>
        <c:minorTickMark val="none"/>
        <c:tickLblPos val="nextTo"/>
        <c:crossAx val="117455040"/>
        <c:crosses val="autoZero"/>
        <c:auto val="1"/>
        <c:lblAlgn val="ctr"/>
        <c:lblOffset val="100"/>
        <c:noMultiLvlLbl val="0"/>
      </c:catAx>
      <c:valAx>
        <c:axId val="117455040"/>
        <c:scaling>
          <c:orientation val="minMax"/>
        </c:scaling>
        <c:delete val="0"/>
        <c:axPos val="l"/>
        <c:majorGridlines/>
        <c:numFmt formatCode="General" sourceLinked="1"/>
        <c:majorTickMark val="out"/>
        <c:minorTickMark val="none"/>
        <c:tickLblPos val="nextTo"/>
        <c:crossAx val="11734169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ADESHO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280504410632882E-2"/>
          <c:y val="0.11253866552580022"/>
          <c:w val="0.90134909123201701"/>
          <c:h val="0.62336297548834863"/>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16</c:v>
                </c:pt>
                <c:pt idx="1">
                  <c:v>108</c:v>
                </c:pt>
                <c:pt idx="2">
                  <c:v>203</c:v>
                </c:pt>
                <c:pt idx="3">
                  <c:v>320</c:v>
                </c:pt>
                <c:pt idx="4">
                  <c:v>395</c:v>
                </c:pt>
                <c:pt idx="5">
                  <c:v>417</c:v>
                </c:pt>
                <c:pt idx="6">
                  <c:v>347</c:v>
                </c:pt>
                <c:pt idx="7">
                  <c:v>338</c:v>
                </c:pt>
                <c:pt idx="8">
                  <c:v>285</c:v>
                </c:pt>
                <c:pt idx="9">
                  <c:v>203</c:v>
                </c:pt>
                <c:pt idx="10">
                  <c:v>41</c:v>
                </c:pt>
                <c:pt idx="11">
                  <c:v>8</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8</c:v>
                </c:pt>
                <c:pt idx="1">
                  <c:v>57</c:v>
                </c:pt>
                <c:pt idx="2">
                  <c:v>103</c:v>
                </c:pt>
                <c:pt idx="3">
                  <c:v>136</c:v>
                </c:pt>
                <c:pt idx="4">
                  <c:v>199</c:v>
                </c:pt>
                <c:pt idx="5">
                  <c:v>192</c:v>
                </c:pt>
                <c:pt idx="6">
                  <c:v>191</c:v>
                </c:pt>
                <c:pt idx="7">
                  <c:v>153</c:v>
                </c:pt>
                <c:pt idx="8">
                  <c:v>107</c:v>
                </c:pt>
                <c:pt idx="9">
                  <c:v>97</c:v>
                </c:pt>
                <c:pt idx="10">
                  <c:v>19</c:v>
                </c:pt>
                <c:pt idx="11">
                  <c:v>3</c:v>
                </c:pt>
              </c:numCache>
            </c:numRef>
          </c:val>
        </c:ser>
        <c:dLbls>
          <c:showLegendKey val="0"/>
          <c:showVal val="0"/>
          <c:showCatName val="0"/>
          <c:showSerName val="0"/>
          <c:showPercent val="0"/>
          <c:showBubbleSize val="0"/>
        </c:dLbls>
        <c:gapWidth val="150"/>
        <c:axId val="94500352"/>
        <c:axId val="117874688"/>
      </c:barChart>
      <c:catAx>
        <c:axId val="94500352"/>
        <c:scaling>
          <c:orientation val="minMax"/>
        </c:scaling>
        <c:delete val="0"/>
        <c:axPos val="b"/>
        <c:majorTickMark val="out"/>
        <c:minorTickMark val="none"/>
        <c:tickLblPos val="nextTo"/>
        <c:crossAx val="117874688"/>
        <c:crosses val="autoZero"/>
        <c:auto val="1"/>
        <c:lblAlgn val="ctr"/>
        <c:lblOffset val="100"/>
        <c:noMultiLvlLbl val="0"/>
      </c:catAx>
      <c:valAx>
        <c:axId val="117874688"/>
        <c:scaling>
          <c:orientation val="minMax"/>
        </c:scaling>
        <c:delete val="0"/>
        <c:axPos val="l"/>
        <c:majorGridlines/>
        <c:numFmt formatCode="General" sourceLinked="1"/>
        <c:majorTickMark val="out"/>
        <c:minorTickMark val="none"/>
        <c:tickLblPos val="nextTo"/>
        <c:crossAx val="9450035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a:pPr>
            <a:r>
              <a:rPr lang="es-ES" sz="1400"/>
              <a:t>Altas por sector y grupo de activdad</a:t>
            </a:r>
          </a:p>
        </c:rich>
      </c:tx>
      <c:layout>
        <c:manualLayout>
          <c:xMode val="edge"/>
          <c:yMode val="edge"/>
          <c:x val="0.25316351739557458"/>
          <c:y val="4.7475369112051566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3683842249911479"/>
          <c:w val="0.56139670759545868"/>
          <c:h val="0.64350182940194578"/>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ADESHO</c:v>
                  </c:pt>
                </c:lvl>
              </c:multiLvlStrCache>
            </c:multiLvlStrRef>
          </c:cat>
          <c:val>
            <c:numRef>
              <c:f>'Tabla régimen-actividad JUN'!$B$9:$B$11</c:f>
              <c:numCache>
                <c:formatCode>General</c:formatCode>
                <c:ptCount val="2"/>
                <c:pt idx="0">
                  <c:v>693</c:v>
                </c:pt>
                <c:pt idx="1">
                  <c:v>431</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ADESHO</c:v>
                  </c:pt>
                </c:lvl>
              </c:multiLvlStrCache>
            </c:multiLvlStrRef>
          </c:cat>
          <c:val>
            <c:numRef>
              <c:f>'Tabla régimen-actividad JUN'!$C$9:$C$11</c:f>
              <c:numCache>
                <c:formatCode>General</c:formatCode>
                <c:ptCount val="2"/>
                <c:pt idx="0">
                  <c:v>100</c:v>
                </c:pt>
                <c:pt idx="1">
                  <c:v>570</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ADESHO</c:v>
                  </c:pt>
                </c:lvl>
              </c:multiLvlStrCache>
            </c:multiLvlStrRef>
          </c:cat>
          <c:val>
            <c:numRef>
              <c:f>'Tabla régimen-actividad JUN'!$D$9:$D$11</c:f>
              <c:numCache>
                <c:formatCode>General</c:formatCode>
                <c:ptCount val="2"/>
                <c:pt idx="0">
                  <c:v>207</c:v>
                </c:pt>
                <c:pt idx="1">
                  <c:v>185</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ADESHO</c:v>
                  </c:pt>
                </c:lvl>
              </c:multiLvlStrCache>
            </c:multiLvlStrRef>
          </c:cat>
          <c:val>
            <c:numRef>
              <c:f>'Tabla régimen-actividad JUN'!$E$9:$E$11</c:f>
              <c:numCache>
                <c:formatCode>General</c:formatCode>
                <c:ptCount val="2"/>
                <c:pt idx="0">
                  <c:v>492</c:v>
                </c:pt>
                <c:pt idx="1">
                  <c:v>1268</c:v>
                </c:pt>
              </c:numCache>
            </c:numRef>
          </c:val>
        </c:ser>
        <c:dLbls>
          <c:showLegendKey val="0"/>
          <c:showVal val="0"/>
          <c:showCatName val="0"/>
          <c:showSerName val="0"/>
          <c:showPercent val="0"/>
          <c:showBubbleSize val="0"/>
        </c:dLbls>
        <c:gapWidth val="150"/>
        <c:shape val="box"/>
        <c:axId val="94500864"/>
        <c:axId val="117876416"/>
        <c:axId val="0"/>
      </c:bar3DChart>
      <c:catAx>
        <c:axId val="94500864"/>
        <c:scaling>
          <c:orientation val="minMax"/>
        </c:scaling>
        <c:delete val="0"/>
        <c:axPos val="b"/>
        <c:majorTickMark val="out"/>
        <c:minorTickMark val="none"/>
        <c:tickLblPos val="nextTo"/>
        <c:crossAx val="117876416"/>
        <c:crosses val="autoZero"/>
        <c:auto val="1"/>
        <c:lblAlgn val="ctr"/>
        <c:lblOffset val="100"/>
        <c:noMultiLvlLbl val="0"/>
      </c:catAx>
      <c:valAx>
        <c:axId val="117876416"/>
        <c:scaling>
          <c:orientation val="minMax"/>
        </c:scaling>
        <c:delete val="0"/>
        <c:axPos val="l"/>
        <c:majorGridlines/>
        <c:numFmt formatCode="General" sourceLinked="1"/>
        <c:majorTickMark val="out"/>
        <c:minorTickMark val="none"/>
        <c:tickLblPos val="nextTo"/>
        <c:crossAx val="94500864"/>
        <c:crosses val="autoZero"/>
        <c:crossBetween val="between"/>
      </c:valAx>
    </c:plotArea>
    <c:legend>
      <c:legendPos val="b"/>
      <c:layout>
        <c:manualLayout>
          <c:xMode val="edge"/>
          <c:yMode val="edge"/>
          <c:x val="0.65371292190008823"/>
          <c:y val="0.26582474835185216"/>
          <c:w val="0.31624380285797615"/>
          <c:h val="0.4842103784136190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200"/>
            </a:pPr>
            <a:r>
              <a:rPr lang="es-ES" sz="12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6747183421995616E-2"/>
          <c:y val="0.11564822915654061"/>
          <c:w val="0.89558146706757435"/>
          <c:h val="0.60580765367292055"/>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ADESHO</c:v>
                  </c:pt>
                </c:lvl>
              </c:multiLvlStrCache>
            </c:multiLvlStrRef>
          </c:cat>
          <c:val>
            <c:numRef>
              <c:f>'Gráfico altas régimen y sexo'!$C$9:$C$12</c:f>
              <c:numCache>
                <c:formatCode>General</c:formatCode>
                <c:ptCount val="2"/>
                <c:pt idx="0">
                  <c:v>1463</c:v>
                </c:pt>
                <c:pt idx="1">
                  <c:v>2286</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ADESHO</c:v>
                  </c:pt>
                </c:lvl>
              </c:multiLvlStrCache>
            </c:multiLvlStrRef>
          </c:cat>
          <c:val>
            <c:numRef>
              <c:f>'Gráfico altas régimen y sexo'!$D$9:$D$12</c:f>
              <c:numCache>
                <c:formatCode>General</c:formatCode>
                <c:ptCount val="2"/>
                <c:pt idx="0">
                  <c:v>1148</c:v>
                </c:pt>
                <c:pt idx="1">
                  <c:v>1408</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ADESHO</c:v>
                  </c:pt>
                </c:lvl>
              </c:multiLvlStrCache>
            </c:multiLvlStrRef>
          </c:cat>
          <c:val>
            <c:numRef>
              <c:f>'Gráfico altas régimen y sexo'!$E$9:$E$12</c:f>
              <c:numCache>
                <c:formatCode>General</c:formatCode>
                <c:ptCount val="2"/>
                <c:pt idx="0">
                  <c:v>315</c:v>
                </c:pt>
                <c:pt idx="1">
                  <c:v>878</c:v>
                </c:pt>
              </c:numCache>
            </c:numRef>
          </c:val>
        </c:ser>
        <c:dLbls>
          <c:showLegendKey val="0"/>
          <c:showVal val="0"/>
          <c:showCatName val="0"/>
          <c:showSerName val="0"/>
          <c:showPercent val="0"/>
          <c:showBubbleSize val="0"/>
        </c:dLbls>
        <c:gapWidth val="150"/>
        <c:shape val="box"/>
        <c:axId val="94502400"/>
        <c:axId val="117878144"/>
        <c:axId val="0"/>
      </c:bar3DChart>
      <c:catAx>
        <c:axId val="94502400"/>
        <c:scaling>
          <c:orientation val="minMax"/>
        </c:scaling>
        <c:delete val="0"/>
        <c:axPos val="b"/>
        <c:majorTickMark val="out"/>
        <c:minorTickMark val="none"/>
        <c:tickLblPos val="nextTo"/>
        <c:crossAx val="117878144"/>
        <c:crosses val="autoZero"/>
        <c:auto val="1"/>
        <c:lblAlgn val="ctr"/>
        <c:lblOffset val="100"/>
        <c:noMultiLvlLbl val="0"/>
      </c:catAx>
      <c:valAx>
        <c:axId val="117878144"/>
        <c:scaling>
          <c:orientation val="minMax"/>
        </c:scaling>
        <c:delete val="0"/>
        <c:axPos val="l"/>
        <c:majorGridlines/>
        <c:numFmt formatCode="General" sourceLinked="1"/>
        <c:majorTickMark val="out"/>
        <c:minorTickMark val="none"/>
        <c:tickLblPos val="nextTo"/>
        <c:crossAx val="945024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2"/>
    </mc:Choice>
    <mc:Fallback>
      <c:style val="22"/>
    </mc:Fallback>
  </mc:AlternateContent>
  <c:pivotSource>
    <c:name>[municipios.xlsx]gráfico histórico INDIVIDUAL!Tabla dinámica1</c:name>
    <c:fmtId val="-1"/>
  </c:pivotSource>
  <c:chart>
    <c:autoTitleDeleted val="1"/>
    <c:pivotFmts>
      <c:pivotFmt>
        <c:idx val="0"/>
      </c:pivotFmt>
      <c:pivotFmt>
        <c:idx val="1"/>
      </c:pivotFmt>
      <c:pivotFmt>
        <c:idx val="2"/>
      </c:pivotFmt>
    </c:pivotFmts>
    <c:plotArea>
      <c:layout>
        <c:manualLayout>
          <c:layoutTarget val="inner"/>
          <c:xMode val="edge"/>
          <c:yMode val="edge"/>
          <c:x val="0.11313076345005535"/>
          <c:y val="5.3932797170407172E-2"/>
          <c:w val="0.83515320458003395"/>
          <c:h val="0.7301058290173621"/>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40498</c:v>
                </c:pt>
                <c:pt idx="1">
                  <c:v>42219</c:v>
                </c:pt>
                <c:pt idx="2">
                  <c:v>40510</c:v>
                </c:pt>
                <c:pt idx="3">
                  <c:v>40207</c:v>
                </c:pt>
                <c:pt idx="4">
                  <c:v>36825</c:v>
                </c:pt>
                <c:pt idx="5">
                  <c:v>33552</c:v>
                </c:pt>
                <c:pt idx="6">
                  <c:v>28737</c:v>
                </c:pt>
                <c:pt idx="7">
                  <c:v>21255</c:v>
                </c:pt>
                <c:pt idx="8">
                  <c:v>16619</c:v>
                </c:pt>
                <c:pt idx="9">
                  <c:v>14578</c:v>
                </c:pt>
                <c:pt idx="10">
                  <c:v>14011</c:v>
                </c:pt>
                <c:pt idx="11">
                  <c:v>15891</c:v>
                </c:pt>
                <c:pt idx="12">
                  <c:v>15862</c:v>
                </c:pt>
              </c:numCache>
            </c:numRef>
          </c:val>
          <c:smooth val="0"/>
        </c:ser>
        <c:dLbls>
          <c:showLegendKey val="0"/>
          <c:showVal val="0"/>
          <c:showCatName val="0"/>
          <c:showSerName val="0"/>
          <c:showPercent val="0"/>
          <c:showBubbleSize val="0"/>
        </c:dLbls>
        <c:marker val="1"/>
        <c:smooth val="0"/>
        <c:axId val="116701184"/>
        <c:axId val="111986368"/>
      </c:lineChart>
      <c:catAx>
        <c:axId val="116701184"/>
        <c:scaling>
          <c:orientation val="minMax"/>
        </c:scaling>
        <c:delete val="0"/>
        <c:axPos val="b"/>
        <c:majorTickMark val="out"/>
        <c:minorTickMark val="none"/>
        <c:tickLblPos val="nextTo"/>
        <c:crossAx val="111986368"/>
        <c:crosses val="autoZero"/>
        <c:auto val="1"/>
        <c:lblAlgn val="ctr"/>
        <c:lblOffset val="100"/>
        <c:noMultiLvlLbl val="0"/>
      </c:catAx>
      <c:valAx>
        <c:axId val="111986368"/>
        <c:scaling>
          <c:orientation val="minMax"/>
        </c:scaling>
        <c:delete val="0"/>
        <c:axPos val="l"/>
        <c:majorGridlines>
          <c:spPr>
            <a:ln>
              <a:solidFill>
                <a:schemeClr val="accent4">
                  <a:lumMod val="75000"/>
                </a:schemeClr>
              </a:solidFill>
            </a:ln>
          </c:spPr>
        </c:majorGridlines>
        <c:numFmt formatCode="General" sourceLinked="1"/>
        <c:majorTickMark val="out"/>
        <c:minorTickMark val="none"/>
        <c:tickLblPos val="nextTo"/>
        <c:crossAx val="116701184"/>
        <c:crosses val="autoZero"/>
        <c:crossBetween val="between"/>
      </c:valAx>
    </c:plotArea>
    <c:plotVisOnly val="1"/>
    <c:dispBlanksAs val="zero"/>
    <c:showDLblsOverMax val="0"/>
  </c:chart>
  <c:spPr>
    <a:solidFill>
      <a:schemeClr val="accent4">
        <a:lumMod val="20000"/>
        <a:lumOff val="80000"/>
      </a:schemeClr>
    </a:solidFill>
    <a:ln>
      <a:solidFill>
        <a:schemeClr val="accent4">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a:pPr>
            <a:r>
              <a:rPr lang="en-US" sz="1200"/>
              <a:t>Población por municipios</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95</c:v>
                </c:pt>
                <c:pt idx="1">
                  <c:v>6328</c:v>
                </c:pt>
                <c:pt idx="2">
                  <c:v>3169</c:v>
                </c:pt>
                <c:pt idx="3">
                  <c:v>6270</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a:pPr>
            <a:r>
              <a:rPr lang="en-US" sz="12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7645871189178274E-2"/>
          <c:y val="0.17452026829979586"/>
          <c:w val="0.68096879901846585"/>
          <c:h val="0.77609173853268354"/>
        </c:manualLayout>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c:v>
                </c:pt>
                <c:pt idx="1">
                  <c:v>29</c:v>
                </c:pt>
                <c:pt idx="2">
                  <c:v>5</c:v>
                </c:pt>
                <c:pt idx="3">
                  <c:v>4</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a:pPr>
            <a:r>
              <a:rPr lang="es-ES" sz="1200"/>
              <a:t>Histórico de nacimientos (ADESHO)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6.1114362115836179E-2"/>
          <c:y val="0.16231565771080139"/>
          <c:w val="0.90125628699046678"/>
          <c:h val="0.71329325742897087"/>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ADESHO</c:v>
                </c:pt>
              </c:strCache>
            </c:strRef>
          </c:cat>
          <c:val>
            <c:numRef>
              <c:f>'nacimientos grupo'!$B$7:$B$8</c:f>
              <c:numCache>
                <c:formatCode>General</c:formatCode>
                <c:ptCount val="1"/>
                <c:pt idx="0">
                  <c:v>97</c:v>
                </c:pt>
              </c:numCache>
            </c:numRef>
          </c:val>
        </c:ser>
        <c:ser>
          <c:idx val="1"/>
          <c:order val="1"/>
          <c:tx>
            <c:strRef>
              <c:f>'nacimientos grupo'!$C$5:$C$6</c:f>
              <c:strCache>
                <c:ptCount val="1"/>
                <c:pt idx="0">
                  <c:v>Año 2011</c:v>
                </c:pt>
              </c:strCache>
            </c:strRef>
          </c:tx>
          <c:invertIfNegative val="0"/>
          <c:cat>
            <c:strRef>
              <c:f>'nacimientos grupo'!$A$7:$A$8</c:f>
              <c:strCache>
                <c:ptCount val="1"/>
                <c:pt idx="0">
                  <c:v>ADESHO</c:v>
                </c:pt>
              </c:strCache>
            </c:strRef>
          </c:cat>
          <c:val>
            <c:numRef>
              <c:f>'nacimientos grupo'!$C$7:$C$8</c:f>
              <c:numCache>
                <c:formatCode>General</c:formatCode>
                <c:ptCount val="1"/>
                <c:pt idx="0">
                  <c:v>86</c:v>
                </c:pt>
              </c:numCache>
            </c:numRef>
          </c:val>
        </c:ser>
        <c:ser>
          <c:idx val="2"/>
          <c:order val="2"/>
          <c:tx>
            <c:strRef>
              <c:f>'nacimientos grupo'!$D$5:$D$6</c:f>
              <c:strCache>
                <c:ptCount val="1"/>
                <c:pt idx="0">
                  <c:v>Año 2010</c:v>
                </c:pt>
              </c:strCache>
            </c:strRef>
          </c:tx>
          <c:invertIfNegative val="0"/>
          <c:cat>
            <c:strRef>
              <c:f>'nacimientos grupo'!$A$7:$A$8</c:f>
              <c:strCache>
                <c:ptCount val="1"/>
                <c:pt idx="0">
                  <c:v>ADESHO</c:v>
                </c:pt>
              </c:strCache>
            </c:strRef>
          </c:cat>
          <c:val>
            <c:numRef>
              <c:f>'nacimientos grupo'!$D$7:$D$8</c:f>
              <c:numCache>
                <c:formatCode>General</c:formatCode>
                <c:ptCount val="1"/>
                <c:pt idx="0">
                  <c:v>123</c:v>
                </c:pt>
              </c:numCache>
            </c:numRef>
          </c:val>
        </c:ser>
        <c:ser>
          <c:idx val="3"/>
          <c:order val="3"/>
          <c:tx>
            <c:strRef>
              <c:f>'nacimientos grupo'!$E$5:$E$6</c:f>
              <c:strCache>
                <c:ptCount val="1"/>
                <c:pt idx="0">
                  <c:v>Año 2009</c:v>
                </c:pt>
              </c:strCache>
            </c:strRef>
          </c:tx>
          <c:invertIfNegative val="0"/>
          <c:cat>
            <c:strRef>
              <c:f>'nacimientos grupo'!$A$7:$A$8</c:f>
              <c:strCache>
                <c:ptCount val="1"/>
                <c:pt idx="0">
                  <c:v>ADESHO</c:v>
                </c:pt>
              </c:strCache>
            </c:strRef>
          </c:cat>
          <c:val>
            <c:numRef>
              <c:f>'nacimientos grupo'!$E$7:$E$8</c:f>
              <c:numCache>
                <c:formatCode>General</c:formatCode>
                <c:ptCount val="1"/>
                <c:pt idx="0">
                  <c:v>125</c:v>
                </c:pt>
              </c:numCache>
            </c:numRef>
          </c:val>
        </c:ser>
        <c:ser>
          <c:idx val="4"/>
          <c:order val="4"/>
          <c:tx>
            <c:strRef>
              <c:f>'nacimientos grupo'!$F$5:$F$6</c:f>
              <c:strCache>
                <c:ptCount val="1"/>
                <c:pt idx="0">
                  <c:v>Año 2008</c:v>
                </c:pt>
              </c:strCache>
            </c:strRef>
          </c:tx>
          <c:invertIfNegative val="0"/>
          <c:cat>
            <c:strRef>
              <c:f>'nacimientos grupo'!$A$7:$A$8</c:f>
              <c:strCache>
                <c:ptCount val="1"/>
                <c:pt idx="0">
                  <c:v>ADESHO</c:v>
                </c:pt>
              </c:strCache>
            </c:strRef>
          </c:cat>
          <c:val>
            <c:numRef>
              <c:f>'nacimientos grupo'!$F$7:$F$8</c:f>
              <c:numCache>
                <c:formatCode>General</c:formatCode>
                <c:ptCount val="1"/>
                <c:pt idx="0">
                  <c:v>131</c:v>
                </c:pt>
              </c:numCache>
            </c:numRef>
          </c:val>
        </c:ser>
        <c:ser>
          <c:idx val="5"/>
          <c:order val="5"/>
          <c:tx>
            <c:strRef>
              <c:f>'nacimientos grupo'!$G$5:$G$6</c:f>
              <c:strCache>
                <c:ptCount val="1"/>
                <c:pt idx="0">
                  <c:v>Año 2007</c:v>
                </c:pt>
              </c:strCache>
            </c:strRef>
          </c:tx>
          <c:invertIfNegative val="0"/>
          <c:cat>
            <c:strRef>
              <c:f>'nacimientos grupo'!$A$7:$A$8</c:f>
              <c:strCache>
                <c:ptCount val="1"/>
                <c:pt idx="0">
                  <c:v>ADESHO</c:v>
                </c:pt>
              </c:strCache>
            </c:strRef>
          </c:cat>
          <c:val>
            <c:numRef>
              <c:f>'nacimientos grupo'!$G$7:$G$8</c:f>
              <c:numCache>
                <c:formatCode>General</c:formatCode>
                <c:ptCount val="1"/>
                <c:pt idx="0">
                  <c:v>90</c:v>
                </c:pt>
              </c:numCache>
            </c:numRef>
          </c:val>
        </c:ser>
        <c:dLbls>
          <c:showLegendKey val="0"/>
          <c:showVal val="0"/>
          <c:showCatName val="0"/>
          <c:showSerName val="0"/>
          <c:showPercent val="0"/>
          <c:showBubbleSize val="0"/>
        </c:dLbls>
        <c:gapWidth val="150"/>
        <c:shape val="cylinder"/>
        <c:axId val="117235200"/>
        <c:axId val="111990400"/>
        <c:axId val="0"/>
      </c:bar3DChart>
      <c:catAx>
        <c:axId val="117235200"/>
        <c:scaling>
          <c:orientation val="minMax"/>
        </c:scaling>
        <c:delete val="0"/>
        <c:axPos val="b"/>
        <c:majorTickMark val="out"/>
        <c:minorTickMark val="none"/>
        <c:tickLblPos val="nextTo"/>
        <c:crossAx val="111990400"/>
        <c:crosses val="autoZero"/>
        <c:auto val="1"/>
        <c:lblAlgn val="ctr"/>
        <c:lblOffset val="100"/>
        <c:noMultiLvlLbl val="0"/>
      </c:catAx>
      <c:valAx>
        <c:axId val="111990400"/>
        <c:scaling>
          <c:orientation val="minMax"/>
        </c:scaling>
        <c:delete val="0"/>
        <c:axPos val="l"/>
        <c:majorGridlines>
          <c:spPr>
            <a:ln>
              <a:solidFill>
                <a:schemeClr val="tx1"/>
              </a:solidFill>
            </a:ln>
          </c:spPr>
        </c:majorGridlines>
        <c:numFmt formatCode="General" sourceLinked="1"/>
        <c:majorTickMark val="out"/>
        <c:minorTickMark val="none"/>
        <c:tickLblPos val="nextTo"/>
        <c:crossAx val="1172352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a:pPr>
            <a:r>
              <a:rPr lang="es-ES" sz="1200"/>
              <a:t>Histórico de defunciones (ADESHO)</a:t>
            </a:r>
          </a:p>
        </c:rich>
      </c:tx>
      <c:layout>
        <c:manualLayout>
          <c:xMode val="edge"/>
          <c:yMode val="edge"/>
          <c:x val="0.31690267716535431"/>
          <c:y val="2.8131174614409154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8540330180309846E-2"/>
          <c:y val="0.14882608851975693"/>
          <c:w val="0.90130271092700154"/>
          <c:h val="0.70031300191953616"/>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ADESHO</c:v>
                </c:pt>
              </c:strCache>
            </c:strRef>
          </c:cat>
          <c:val>
            <c:numRef>
              <c:f>'defunciones grupo'!$B$7:$B$8</c:f>
              <c:numCache>
                <c:formatCode>General</c:formatCode>
                <c:ptCount val="1"/>
                <c:pt idx="0">
                  <c:v>210</c:v>
                </c:pt>
              </c:numCache>
            </c:numRef>
          </c:val>
        </c:ser>
        <c:ser>
          <c:idx val="1"/>
          <c:order val="1"/>
          <c:tx>
            <c:strRef>
              <c:f>'defunciones grupo'!$C$5:$C$6</c:f>
              <c:strCache>
                <c:ptCount val="1"/>
                <c:pt idx="0">
                  <c:v>Año 2011</c:v>
                </c:pt>
              </c:strCache>
            </c:strRef>
          </c:tx>
          <c:invertIfNegative val="0"/>
          <c:cat>
            <c:strRef>
              <c:f>'defunciones grupo'!$A$7:$A$8</c:f>
              <c:strCache>
                <c:ptCount val="1"/>
                <c:pt idx="0">
                  <c:v>ADESHO</c:v>
                </c:pt>
              </c:strCache>
            </c:strRef>
          </c:cat>
          <c:val>
            <c:numRef>
              <c:f>'defunciones grupo'!$C$7:$C$8</c:f>
              <c:numCache>
                <c:formatCode>General</c:formatCode>
                <c:ptCount val="1"/>
                <c:pt idx="0">
                  <c:v>223</c:v>
                </c:pt>
              </c:numCache>
            </c:numRef>
          </c:val>
        </c:ser>
        <c:ser>
          <c:idx val="2"/>
          <c:order val="2"/>
          <c:tx>
            <c:strRef>
              <c:f>'defunciones grupo'!$D$5:$D$6</c:f>
              <c:strCache>
                <c:ptCount val="1"/>
                <c:pt idx="0">
                  <c:v>Año 2010</c:v>
                </c:pt>
              </c:strCache>
            </c:strRef>
          </c:tx>
          <c:invertIfNegative val="0"/>
          <c:cat>
            <c:strRef>
              <c:f>'defunciones grupo'!$A$7:$A$8</c:f>
              <c:strCache>
                <c:ptCount val="1"/>
                <c:pt idx="0">
                  <c:v>ADESHO</c:v>
                </c:pt>
              </c:strCache>
            </c:strRef>
          </c:cat>
          <c:val>
            <c:numRef>
              <c:f>'defunciones grupo'!$D$7:$D$8</c:f>
              <c:numCache>
                <c:formatCode>General</c:formatCode>
                <c:ptCount val="1"/>
                <c:pt idx="0">
                  <c:v>205</c:v>
                </c:pt>
              </c:numCache>
            </c:numRef>
          </c:val>
        </c:ser>
        <c:ser>
          <c:idx val="3"/>
          <c:order val="3"/>
          <c:tx>
            <c:strRef>
              <c:f>'defunciones grupo'!$E$5:$E$6</c:f>
              <c:strCache>
                <c:ptCount val="1"/>
                <c:pt idx="0">
                  <c:v>Año 2009</c:v>
                </c:pt>
              </c:strCache>
            </c:strRef>
          </c:tx>
          <c:invertIfNegative val="0"/>
          <c:cat>
            <c:strRef>
              <c:f>'defunciones grupo'!$A$7:$A$8</c:f>
              <c:strCache>
                <c:ptCount val="1"/>
                <c:pt idx="0">
                  <c:v>ADESHO</c:v>
                </c:pt>
              </c:strCache>
            </c:strRef>
          </c:cat>
          <c:val>
            <c:numRef>
              <c:f>'defunciones grupo'!$E$7:$E$8</c:f>
              <c:numCache>
                <c:formatCode>General</c:formatCode>
                <c:ptCount val="1"/>
                <c:pt idx="0">
                  <c:v>222</c:v>
                </c:pt>
              </c:numCache>
            </c:numRef>
          </c:val>
        </c:ser>
        <c:ser>
          <c:idx val="4"/>
          <c:order val="4"/>
          <c:tx>
            <c:strRef>
              <c:f>'defunciones grupo'!$F$5:$F$6</c:f>
              <c:strCache>
                <c:ptCount val="1"/>
                <c:pt idx="0">
                  <c:v>Año 2008</c:v>
                </c:pt>
              </c:strCache>
            </c:strRef>
          </c:tx>
          <c:invertIfNegative val="0"/>
          <c:cat>
            <c:strRef>
              <c:f>'defunciones grupo'!$A$7:$A$8</c:f>
              <c:strCache>
                <c:ptCount val="1"/>
                <c:pt idx="0">
                  <c:v>ADESHO</c:v>
                </c:pt>
              </c:strCache>
            </c:strRef>
          </c:cat>
          <c:val>
            <c:numRef>
              <c:f>'defunciones grupo'!$F$7:$F$8</c:f>
              <c:numCache>
                <c:formatCode>General</c:formatCode>
                <c:ptCount val="1"/>
                <c:pt idx="0">
                  <c:v>221</c:v>
                </c:pt>
              </c:numCache>
            </c:numRef>
          </c:val>
        </c:ser>
        <c:ser>
          <c:idx val="5"/>
          <c:order val="5"/>
          <c:tx>
            <c:strRef>
              <c:f>'defunciones grupo'!$G$5:$G$6</c:f>
              <c:strCache>
                <c:ptCount val="1"/>
                <c:pt idx="0">
                  <c:v>Año 2007</c:v>
                </c:pt>
              </c:strCache>
            </c:strRef>
          </c:tx>
          <c:invertIfNegative val="0"/>
          <c:cat>
            <c:strRef>
              <c:f>'defunciones grupo'!$A$7:$A$8</c:f>
              <c:strCache>
                <c:ptCount val="1"/>
                <c:pt idx="0">
                  <c:v>ADESHO</c:v>
                </c:pt>
              </c:strCache>
            </c:strRef>
          </c:cat>
          <c:val>
            <c:numRef>
              <c:f>'defunciones grupo'!$G$7:$G$8</c:f>
              <c:numCache>
                <c:formatCode>General</c:formatCode>
                <c:ptCount val="1"/>
                <c:pt idx="0">
                  <c:v>210</c:v>
                </c:pt>
              </c:numCache>
            </c:numRef>
          </c:val>
        </c:ser>
        <c:ser>
          <c:idx val="6"/>
          <c:order val="6"/>
          <c:tx>
            <c:strRef>
              <c:f>'defunciones grupo'!$H$5:$H$6</c:f>
              <c:strCache>
                <c:ptCount val="1"/>
                <c:pt idx="0">
                  <c:v>Año 2006</c:v>
                </c:pt>
              </c:strCache>
            </c:strRef>
          </c:tx>
          <c:invertIfNegative val="0"/>
          <c:cat>
            <c:strRef>
              <c:f>'defunciones grupo'!$A$7:$A$8</c:f>
              <c:strCache>
                <c:ptCount val="1"/>
                <c:pt idx="0">
                  <c:v>ADESHO</c:v>
                </c:pt>
              </c:strCache>
            </c:strRef>
          </c:cat>
          <c:val>
            <c:numRef>
              <c:f>'defunciones grupo'!$H$7:$H$8</c:f>
              <c:numCache>
                <c:formatCode>General</c:formatCode>
                <c:ptCount val="1"/>
                <c:pt idx="0">
                  <c:v>212</c:v>
                </c:pt>
              </c:numCache>
            </c:numRef>
          </c:val>
        </c:ser>
        <c:dLbls>
          <c:showLegendKey val="0"/>
          <c:showVal val="0"/>
          <c:showCatName val="0"/>
          <c:showSerName val="0"/>
          <c:showPercent val="0"/>
          <c:showBubbleSize val="0"/>
        </c:dLbls>
        <c:gapWidth val="150"/>
        <c:shape val="cylinder"/>
        <c:axId val="117339648"/>
        <c:axId val="111992128"/>
        <c:axId val="0"/>
      </c:bar3DChart>
      <c:catAx>
        <c:axId val="117339648"/>
        <c:scaling>
          <c:orientation val="minMax"/>
        </c:scaling>
        <c:delete val="0"/>
        <c:axPos val="b"/>
        <c:majorTickMark val="out"/>
        <c:minorTickMark val="none"/>
        <c:tickLblPos val="nextTo"/>
        <c:crossAx val="111992128"/>
        <c:crosses val="autoZero"/>
        <c:auto val="1"/>
        <c:lblAlgn val="ctr"/>
        <c:lblOffset val="100"/>
        <c:noMultiLvlLbl val="0"/>
      </c:catAx>
      <c:valAx>
        <c:axId val="111992128"/>
        <c:scaling>
          <c:orientation val="minMax"/>
        </c:scaling>
        <c:delete val="0"/>
        <c:axPos val="l"/>
        <c:majorGridlines/>
        <c:numFmt formatCode="General" sourceLinked="1"/>
        <c:majorTickMark val="out"/>
        <c:minorTickMark val="none"/>
        <c:tickLblPos val="nextTo"/>
        <c:crossAx val="117339648"/>
        <c:crosses val="autoZero"/>
        <c:crossBetween val="between"/>
      </c:valAx>
    </c:plotArea>
    <c:legend>
      <c:legendPos val="b"/>
      <c:layout>
        <c:manualLayout>
          <c:xMode val="edge"/>
          <c:yMode val="edge"/>
          <c:x val="1.1662136655030619E-3"/>
          <c:y val="0.81447242830263022"/>
          <c:w val="0.99764532768915026"/>
          <c:h val="0.18552757169736978"/>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200"/>
            </a:pPr>
            <a:r>
              <a:rPr lang="es-ES" sz="1200"/>
              <a:t>Saldo por</a:t>
            </a:r>
            <a:r>
              <a:rPr lang="es-ES" sz="1200" baseline="0"/>
              <a:t> variación residencia</a:t>
            </a:r>
            <a:endParaRPr lang="es-ES" sz="1200"/>
          </a:p>
        </c:rich>
      </c:tx>
      <c:layout>
        <c:manualLayout>
          <c:xMode val="edge"/>
          <c:yMode val="edge"/>
          <c:x val="0.38326128815824062"/>
          <c:y val="5.9225999211966314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6885086126803951E-2"/>
          <c:y val="0.14966234652833235"/>
          <c:w val="0.85547797979951357"/>
          <c:h val="0.74104815417561787"/>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ADESHO</c:v>
                </c:pt>
              </c:strCache>
            </c:strRef>
          </c:cat>
          <c:val>
            <c:numRef>
              <c:f>'variación residencia grupo'!$B$7:$B$8</c:f>
              <c:numCache>
                <c:formatCode>General</c:formatCode>
                <c:ptCount val="1"/>
                <c:pt idx="0">
                  <c:v>-76</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ADESHO</c:v>
                </c:pt>
              </c:strCache>
            </c:strRef>
          </c:cat>
          <c:val>
            <c:numRef>
              <c:f>'variación residencia grupo'!$C$7:$C$8</c:f>
              <c:numCache>
                <c:formatCode>General</c:formatCode>
                <c:ptCount val="1"/>
                <c:pt idx="0">
                  <c:v>42</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ADESHO</c:v>
                </c:pt>
              </c:strCache>
            </c:strRef>
          </c:cat>
          <c:val>
            <c:numRef>
              <c:f>'variación residencia grupo'!$D$7:$D$8</c:f>
              <c:numCache>
                <c:formatCode>General</c:formatCode>
                <c:ptCount val="1"/>
                <c:pt idx="0">
                  <c:v>-27</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ADESHO</c:v>
                </c:pt>
              </c:strCache>
            </c:strRef>
          </c:cat>
          <c:val>
            <c:numRef>
              <c:f>'variación residencia grupo'!$E$7:$E$8</c:f>
              <c:numCache>
                <c:formatCode>General</c:formatCode>
                <c:ptCount val="1"/>
                <c:pt idx="0">
                  <c:v>84</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ADESHO</c:v>
                </c:pt>
              </c:strCache>
            </c:strRef>
          </c:cat>
          <c:val>
            <c:numRef>
              <c:f>'variación residencia grupo'!$F$7:$F$8</c:f>
              <c:numCache>
                <c:formatCode>General</c:formatCode>
                <c:ptCount val="1"/>
                <c:pt idx="0">
                  <c:v>130</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ADESHO</c:v>
                </c:pt>
              </c:strCache>
            </c:strRef>
          </c:cat>
          <c:val>
            <c:numRef>
              <c:f>'variación residencia grupo'!$G$7:$G$8</c:f>
              <c:numCache>
                <c:formatCode>General</c:formatCode>
                <c:ptCount val="1"/>
                <c:pt idx="0">
                  <c:v>327</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ADESHO</c:v>
                </c:pt>
              </c:strCache>
            </c:strRef>
          </c:cat>
          <c:val>
            <c:numRef>
              <c:f>'variación residencia grupo'!$H$7:$H$8</c:f>
              <c:numCache>
                <c:formatCode>General</c:formatCode>
                <c:ptCount val="1"/>
                <c:pt idx="0">
                  <c:v>250</c:v>
                </c:pt>
              </c:numCache>
            </c:numRef>
          </c:val>
        </c:ser>
        <c:dLbls>
          <c:showLegendKey val="0"/>
          <c:showVal val="0"/>
          <c:showCatName val="0"/>
          <c:showSerName val="0"/>
          <c:showPercent val="0"/>
          <c:showBubbleSize val="0"/>
        </c:dLbls>
        <c:gapWidth val="150"/>
        <c:shape val="cylinder"/>
        <c:axId val="117341184"/>
        <c:axId val="117449856"/>
        <c:axId val="0"/>
      </c:bar3DChart>
      <c:catAx>
        <c:axId val="117341184"/>
        <c:scaling>
          <c:orientation val="minMax"/>
        </c:scaling>
        <c:delete val="0"/>
        <c:axPos val="b"/>
        <c:majorTickMark val="out"/>
        <c:minorTickMark val="none"/>
        <c:tickLblPos val="low"/>
        <c:crossAx val="117449856"/>
        <c:crosses val="autoZero"/>
        <c:auto val="1"/>
        <c:lblAlgn val="ctr"/>
        <c:lblOffset val="100"/>
        <c:noMultiLvlLbl val="0"/>
      </c:catAx>
      <c:valAx>
        <c:axId val="117449856"/>
        <c:scaling>
          <c:orientation val="minMax"/>
        </c:scaling>
        <c:delete val="0"/>
        <c:axPos val="l"/>
        <c:majorGridlines/>
        <c:numFmt formatCode="General" sourceLinked="1"/>
        <c:majorTickMark val="out"/>
        <c:minorTickMark val="none"/>
        <c:tickLblPos val="nextTo"/>
        <c:crossAx val="11734118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080691063042407"/>
          <c:y val="4.3234110923050503E-2"/>
          <c:w val="0.63437448671406493"/>
          <c:h val="0.83618091838987429"/>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ADESHO</c:v>
                </c:pt>
              </c:strCache>
            </c:strRef>
          </c:cat>
          <c:val>
            <c:numRef>
              <c:f>'Tabla porcentajes 2012'!$B$9:$B$10</c:f>
              <c:numCache>
                <c:formatCode>0.0000%</c:formatCode>
                <c:ptCount val="1"/>
                <c:pt idx="0">
                  <c:v>4.3606894777463337E-2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ADESHO</c:v>
                </c:pt>
              </c:strCache>
            </c:strRef>
          </c:cat>
          <c:val>
            <c:numRef>
              <c:f>'Tabla porcentajes 2012'!$C$9:$C$10</c:f>
              <c:numCache>
                <c:formatCode>0.0000%</c:formatCode>
                <c:ptCount val="1"/>
                <c:pt idx="0">
                  <c:v>1.5638247762600095E-2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ADESHO</c:v>
                </c:pt>
              </c:strCache>
            </c:strRef>
          </c:cat>
          <c:val>
            <c:numRef>
              <c:f>'Tabla porcentajes 2012'!$D$9:$D$10</c:f>
              <c:numCache>
                <c:formatCode>0.0000%</c:formatCode>
                <c:ptCount val="1"/>
                <c:pt idx="0">
                  <c:v>2.4330900243309011E-2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ADESHO</c:v>
                </c:pt>
              </c:strCache>
            </c:strRef>
          </c:cat>
          <c:val>
            <c:numRef>
              <c:f>'Tabla porcentajes 2012'!$E$9:$E$10</c:f>
              <c:numCache>
                <c:formatCode>0.0000%</c:formatCode>
                <c:ptCount val="1"/>
                <c:pt idx="0">
                  <c:v>1.2220926717623181E-2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ADESHO</c:v>
                </c:pt>
              </c:strCache>
            </c:strRef>
          </c:cat>
          <c:val>
            <c:numRef>
              <c:f>'Tabla porcentajes 2012'!$F$9:$F$10</c:f>
              <c:numCache>
                <c:formatCode>0.0000%</c:formatCode>
                <c:ptCount val="1"/>
                <c:pt idx="0">
                  <c:v>8.694208866512277E-3</c:v>
                </c:pt>
              </c:numCache>
            </c:numRef>
          </c:val>
        </c:ser>
        <c:dLbls>
          <c:showLegendKey val="0"/>
          <c:showVal val="0"/>
          <c:showCatName val="0"/>
          <c:showSerName val="0"/>
          <c:showPercent val="0"/>
          <c:showBubbleSize val="0"/>
        </c:dLbls>
        <c:gapWidth val="150"/>
        <c:shape val="box"/>
        <c:axId val="94499840"/>
        <c:axId val="117451584"/>
        <c:axId val="0"/>
      </c:bar3DChart>
      <c:catAx>
        <c:axId val="94499840"/>
        <c:scaling>
          <c:orientation val="minMax"/>
        </c:scaling>
        <c:delete val="0"/>
        <c:axPos val="b"/>
        <c:majorTickMark val="out"/>
        <c:minorTickMark val="none"/>
        <c:tickLblPos val="nextTo"/>
        <c:crossAx val="117451584"/>
        <c:crosses val="autoZero"/>
        <c:auto val="1"/>
        <c:lblAlgn val="ctr"/>
        <c:lblOffset val="100"/>
        <c:noMultiLvlLbl val="0"/>
      </c:catAx>
      <c:valAx>
        <c:axId val="117451584"/>
        <c:scaling>
          <c:orientation val="minMax"/>
        </c:scaling>
        <c:delete val="0"/>
        <c:axPos val="l"/>
        <c:majorGridlines/>
        <c:numFmt formatCode="0.0000%" sourceLinked="1"/>
        <c:majorTickMark val="out"/>
        <c:minorTickMark val="none"/>
        <c:tickLblPos val="nextTo"/>
        <c:crossAx val="94499840"/>
        <c:crosses val="autoZero"/>
        <c:crossBetween val="between"/>
      </c:valAx>
    </c:plotArea>
    <c:legend>
      <c:legendPos val="b"/>
      <c:layout>
        <c:manualLayout>
          <c:xMode val="edge"/>
          <c:yMode val="edge"/>
          <c:x val="0.73191155224370896"/>
          <c:y val="0.20594015993327938"/>
          <c:w val="0.26627464191497136"/>
          <c:h val="0.6733433291632938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5.4814418773784977E-2"/>
          <c:y val="9.7593962726490166E-2"/>
          <c:w val="0.68455457985447288"/>
          <c:h val="0.794521195413953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ADESHO</c:v>
                </c:pt>
              </c:strCache>
            </c:strRef>
          </c:cat>
          <c:val>
            <c:numRef>
              <c:f>'Tabla evolucion 2012-2011'!$B$9</c:f>
              <c:numCache>
                <c:formatCode>General</c:formatCode>
                <c:ptCount val="1"/>
                <c:pt idx="0">
                  <c:v>-4</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ADESHO</c:v>
                </c:pt>
              </c:strCache>
            </c:strRef>
          </c:cat>
          <c:val>
            <c:numRef>
              <c:f>'Tabla evolucion 2012-2011'!$C$9</c:f>
              <c:numCache>
                <c:formatCode>General</c:formatCode>
                <c:ptCount val="1"/>
                <c:pt idx="0">
                  <c:v>-10</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ADESHO</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ADESHO</c:v>
                </c:pt>
              </c:strCache>
            </c:strRef>
          </c:cat>
          <c:val>
            <c:numRef>
              <c:f>'Tabla evolucion 2012-2011'!$E$9</c:f>
              <c:numCache>
                <c:formatCode>General</c:formatCode>
                <c:ptCount val="1"/>
                <c:pt idx="0">
                  <c:v>-46</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ADESHO</c:v>
                </c:pt>
              </c:strCache>
            </c:strRef>
          </c:cat>
          <c:val>
            <c:numRef>
              <c:f>'Tabla evolucion 2012-2011'!$F$9</c:f>
              <c:numCache>
                <c:formatCode>General</c:formatCode>
                <c:ptCount val="1"/>
                <c:pt idx="0">
                  <c:v>-73</c:v>
                </c:pt>
              </c:numCache>
            </c:numRef>
          </c:val>
        </c:ser>
        <c:dLbls>
          <c:showLegendKey val="0"/>
          <c:showVal val="0"/>
          <c:showCatName val="0"/>
          <c:showSerName val="0"/>
          <c:showPercent val="0"/>
          <c:showBubbleSize val="0"/>
        </c:dLbls>
        <c:gapWidth val="150"/>
        <c:shape val="box"/>
        <c:axId val="117339136"/>
        <c:axId val="117453312"/>
        <c:axId val="0"/>
      </c:bar3DChart>
      <c:catAx>
        <c:axId val="117339136"/>
        <c:scaling>
          <c:orientation val="minMax"/>
        </c:scaling>
        <c:delete val="0"/>
        <c:axPos val="b"/>
        <c:majorTickMark val="out"/>
        <c:minorTickMark val="none"/>
        <c:tickLblPos val="low"/>
        <c:crossAx val="117453312"/>
        <c:crosses val="autoZero"/>
        <c:auto val="1"/>
        <c:lblAlgn val="ctr"/>
        <c:lblOffset val="100"/>
        <c:noMultiLvlLbl val="0"/>
      </c:catAx>
      <c:valAx>
        <c:axId val="117453312"/>
        <c:scaling>
          <c:orientation val="minMax"/>
        </c:scaling>
        <c:delete val="0"/>
        <c:axPos val="l"/>
        <c:majorGridlines/>
        <c:numFmt formatCode="General" sourceLinked="1"/>
        <c:majorTickMark val="out"/>
        <c:minorTickMark val="none"/>
        <c:tickLblPos val="nextTo"/>
        <c:crossAx val="117339136"/>
        <c:crosses val="autoZero"/>
        <c:crossBetween val="between"/>
      </c:valAx>
    </c:plotArea>
    <c:legend>
      <c:legendPos val="b"/>
      <c:layout>
        <c:manualLayout>
          <c:xMode val="edge"/>
          <c:yMode val="edge"/>
          <c:x val="0.74601546720240219"/>
          <c:y val="0.25581969507332708"/>
          <c:w val="0.25099604319007451"/>
          <c:h val="0.5698006939273435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 </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a:t>2363,79km</a:t>
          </a:r>
          <a:r>
            <a:rPr lang="es-ES" b="1" baseline="30000"/>
            <a:t>2</a:t>
          </a:r>
          <a:endParaRPr lang="es-ES"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a:t>6,71</a:t>
          </a:r>
          <a:endParaRPr lang="es-ES"/>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9822" custLinFactNeighborY="-4411"/>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DB62452A-E4C3-4DC0-B5AB-BF893C99CA5A}" type="presOf" srcId="{18A8730F-81C8-4E32-8AFC-F641D9564C32}" destId="{E62352AE-7A92-409B-A693-FF5F5F371E72}"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470CAB35-DE29-40D2-9E8C-9218ECD69FB4}" type="presOf" srcId="{F52A5D61-5B52-41D6-82AD-1AB126421323}" destId="{A37BC357-048C-4C8A-9C7C-39AAB06E79AE}" srcOrd="1" destOrd="0" presId="urn:microsoft.com/office/officeart/2005/8/layout/hList9"/>
    <dgm:cxn modelId="{B4D7B75F-EEBF-465C-98A1-5D3AB422E8F3}" srcId="{18A8730F-81C8-4E32-8AFC-F641D9564C32}" destId="{5A345620-AAE9-43AC-BFA5-7DCF838F6E6A}" srcOrd="0" destOrd="0" parTransId="{E6081994-E4C2-4952-BBDE-14351334798F}" sibTransId="{0DB3948C-1A0B-476A-81D8-3AAF2857D4B8}"/>
    <dgm:cxn modelId="{A7619A95-E0E0-46DB-9551-0FCFD2243FC2}" type="presOf" srcId="{DC8F0761-D699-4726-9FCA-759596682644}" destId="{DACECD24-1E16-43E4-80BE-26CFAFDBDD5C}" srcOrd="1" destOrd="0" presId="urn:microsoft.com/office/officeart/2005/8/layout/hList9"/>
    <dgm:cxn modelId="{EB914576-8D05-4703-BE12-86A679C47AE6}" type="presOf" srcId="{8A25AA0E-05A3-48A4-9066-D86732F11EE6}" destId="{575C1222-BBA2-426D-9CA7-C61006236803}" srcOrd="0" destOrd="0" presId="urn:microsoft.com/office/officeart/2005/8/layout/hList9"/>
    <dgm:cxn modelId="{1FA7EB14-5B04-4832-A4FC-2BFBB9DD787D}" type="presOf" srcId="{F52A5D61-5B52-41D6-82AD-1AB126421323}" destId="{53641B60-3D2A-48DF-8978-B44702B50950}"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04D98D14-F670-400B-98B5-53DA423D7D90}" type="presOf" srcId="{DC8F0761-D699-4726-9FCA-759596682644}" destId="{7E56BCF3-9CB5-4F8B-BE2F-0C63200680D4}" srcOrd="0" destOrd="0" presId="urn:microsoft.com/office/officeart/2005/8/layout/hList9"/>
    <dgm:cxn modelId="{344407C4-D1B7-41BD-BC82-E55C4110E0F5}" type="presOf" srcId="{5A345620-AAE9-43AC-BFA5-7DCF838F6E6A}" destId="{BF6713A8-036E-43D7-9142-70FA401CC8E0}"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0E65FBE2-AFCB-4FBC-8C94-13FE2ABE46EF}" type="presParOf" srcId="{E62352AE-7A92-409B-A693-FF5F5F371E72}" destId="{601C966D-3AF6-4118-B620-1E3EFBE740C9}" srcOrd="0" destOrd="0" presId="urn:microsoft.com/office/officeart/2005/8/layout/hList9"/>
    <dgm:cxn modelId="{D83DD816-A558-4BBD-8DE8-64F3E46B68C1}" type="presParOf" srcId="{E62352AE-7A92-409B-A693-FF5F5F371E72}" destId="{F36D099F-EEB4-4F98-872E-B1D06C65E133}" srcOrd="1" destOrd="0" presId="urn:microsoft.com/office/officeart/2005/8/layout/hList9"/>
    <dgm:cxn modelId="{77517A57-DCC4-4656-9014-8F3A3F370429}" type="presParOf" srcId="{F36D099F-EEB4-4F98-872E-B1D06C65E133}" destId="{DB5C4403-791E-4B02-859B-EC3F5B33D810}" srcOrd="0" destOrd="0" presId="urn:microsoft.com/office/officeart/2005/8/layout/hList9"/>
    <dgm:cxn modelId="{F73CFFE9-B269-40B4-96B8-250B0269B6D1}" type="presParOf" srcId="{F36D099F-EEB4-4F98-872E-B1D06C65E133}" destId="{8F52367C-0189-4D38-8029-7D76FCD93C77}" srcOrd="1" destOrd="0" presId="urn:microsoft.com/office/officeart/2005/8/layout/hList9"/>
    <dgm:cxn modelId="{0874056B-0E9F-418C-9967-DF18ED5E3936}" type="presParOf" srcId="{8F52367C-0189-4D38-8029-7D76FCD93C77}" destId="{7E56BCF3-9CB5-4F8B-BE2F-0C63200680D4}" srcOrd="0" destOrd="0" presId="urn:microsoft.com/office/officeart/2005/8/layout/hList9"/>
    <dgm:cxn modelId="{C044F9FC-D246-4541-883B-85BB981B5174}" type="presParOf" srcId="{8F52367C-0189-4D38-8029-7D76FCD93C77}" destId="{DACECD24-1E16-43E4-80BE-26CFAFDBDD5C}" srcOrd="1" destOrd="0" presId="urn:microsoft.com/office/officeart/2005/8/layout/hList9"/>
    <dgm:cxn modelId="{C8DED494-D59B-4601-808F-1C3709AA7AEC}" type="presParOf" srcId="{E62352AE-7A92-409B-A693-FF5F5F371E72}" destId="{5246FFAB-65CC-4258-8CBF-5E13D423474C}" srcOrd="2" destOrd="0" presId="urn:microsoft.com/office/officeart/2005/8/layout/hList9"/>
    <dgm:cxn modelId="{60852317-748E-4F6A-AC0D-2B90180BA5A8}" type="presParOf" srcId="{E62352AE-7A92-409B-A693-FF5F5F371E72}" destId="{BF6713A8-036E-43D7-9142-70FA401CC8E0}" srcOrd="3" destOrd="0" presId="urn:microsoft.com/office/officeart/2005/8/layout/hList9"/>
    <dgm:cxn modelId="{B4DFC2E7-B7E4-494F-BF6D-5AC0158DCC57}" type="presParOf" srcId="{E62352AE-7A92-409B-A693-FF5F5F371E72}" destId="{FB6E445D-BFE8-4AE0-9399-C0EECE766FC0}" srcOrd="4" destOrd="0" presId="urn:microsoft.com/office/officeart/2005/8/layout/hList9"/>
    <dgm:cxn modelId="{465B1716-B055-4B29-A44A-DEE660D28633}" type="presParOf" srcId="{E62352AE-7A92-409B-A693-FF5F5F371E72}" destId="{99EAC4E4-9F15-4285-B02D-55B2D929CDCE}" srcOrd="5" destOrd="0" presId="urn:microsoft.com/office/officeart/2005/8/layout/hList9"/>
    <dgm:cxn modelId="{A59F24BA-2DA3-43EC-9168-6496F1CDB8D9}" type="presParOf" srcId="{E62352AE-7A92-409B-A693-FF5F5F371E72}" destId="{C29BD979-117A-4098-82FD-CF9E1B668D9D}" srcOrd="6" destOrd="0" presId="urn:microsoft.com/office/officeart/2005/8/layout/hList9"/>
    <dgm:cxn modelId="{1D3F06EC-CA73-4435-BDF6-DCE625266C75}" type="presParOf" srcId="{C29BD979-117A-4098-82FD-CF9E1B668D9D}" destId="{A6CEB835-8B0C-4E1D-9DF6-36136D68911F}" srcOrd="0" destOrd="0" presId="urn:microsoft.com/office/officeart/2005/8/layout/hList9"/>
    <dgm:cxn modelId="{8F854D5B-B4A2-47D7-9CBB-18FDAA53303A}" type="presParOf" srcId="{C29BD979-117A-4098-82FD-CF9E1B668D9D}" destId="{43FC3AB4-C3DD-4D28-BDA2-12470C5C44D6}" srcOrd="1" destOrd="0" presId="urn:microsoft.com/office/officeart/2005/8/layout/hList9"/>
    <dgm:cxn modelId="{AE2215D7-75B4-4351-B7FC-9F73D161D1EF}" type="presParOf" srcId="{43FC3AB4-C3DD-4D28-BDA2-12470C5C44D6}" destId="{53641B60-3D2A-48DF-8978-B44702B50950}" srcOrd="0" destOrd="0" presId="urn:microsoft.com/office/officeart/2005/8/layout/hList9"/>
    <dgm:cxn modelId="{F7AFC507-7920-405F-BA11-84953A881173}" type="presParOf" srcId="{43FC3AB4-C3DD-4D28-BDA2-12470C5C44D6}" destId="{A37BC357-048C-4C8A-9C7C-39AAB06E79AE}" srcOrd="1" destOrd="0" presId="urn:microsoft.com/office/officeart/2005/8/layout/hList9"/>
    <dgm:cxn modelId="{75A265E5-8A44-4D55-8CBB-DE46115FDB3A}" type="presParOf" srcId="{E62352AE-7A92-409B-A693-FF5F5F371E72}" destId="{8196E043-9A47-465E-9AB6-9778260CB821}" srcOrd="7" destOrd="0" presId="urn:microsoft.com/office/officeart/2005/8/layout/hList9"/>
    <dgm:cxn modelId="{333D6A3E-E51E-48E4-AEBC-8C3976353A6B}"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35959" y="448570"/>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kern="1200"/>
            <a:t>2363,79km</a:t>
          </a:r>
          <a:r>
            <a:rPr lang="es-ES" sz="1500" b="1" kern="1200" baseline="30000"/>
            <a:t>2</a:t>
          </a:r>
          <a:endParaRPr lang="es-ES" sz="1500" kern="1200" baseline="30000"/>
        </a:p>
      </dsp:txBody>
      <dsp:txXfrm>
        <a:off x="1297752" y="448570"/>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kern="1200"/>
            <a:t>6,71</a:t>
          </a:r>
          <a:endParaRPr lang="es-ES" sz="1500"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 </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24</Pages>
  <Words>1976</Words>
  <Characters>10874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Caracterización territorial de la Hoya de Huesca/Plana de Uesca. Asociación para el Desarrollo Rural Comarcal de la Hoya de Huesca (ADESHO)</vt:lpstr>
    </vt:vector>
  </TitlesOfParts>
  <Company/>
  <LinksUpToDate>false</LinksUpToDate>
  <CharactersWithSpaces>12825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la Hoya de Huesca/Plana de Uesca. Asociación para el Desarrollo Rural Comarcal de la Hoya de Huesca (ADESHO)</dc:title>
  <dc:subject/>
  <dc:creator>miriam escorza torrijos</dc:creator>
  <cp:keywords/>
  <dc:description/>
  <cp:lastModifiedBy>miriam escorza torrijos</cp:lastModifiedBy>
  <cp:revision>65</cp:revision>
  <dcterms:created xsi:type="dcterms:W3CDTF">2014-12-16T11:01:00Z</dcterms:created>
  <dcterms:modified xsi:type="dcterms:W3CDTF">2015-02-19T11:25:00Z</dcterms:modified>
</cp:coreProperties>
</file>