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262D3CF6" wp14:editId="308860CE">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7AF6994F" wp14:editId="6164656B">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" fillcolor="#5f497a [2407]" stroked="f" strokeweight="2pt"/>
                </w:pict>
              </mc:Fallback>
            </mc:AlternateContent>
          </w:r>
        </w:p>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DF360A" w:rsidRDefault="00DF360A" w:rsidP="00F36D27">
              <w:pPr>
                <w:jc w:val="center"/>
                <w:rPr>
                  <w:b/>
                  <w:color w:val="FFFFFF" w:themeColor="background1"/>
                  <w:sz w:val="32"/>
                  <w:szCs w:val="32"/>
                </w:rPr>
              </w:pPr>
              <w:r w:rsidRPr="00DF360A">
                <w:rPr>
                  <w:b/>
                  <w:color w:val="FFFFFF" w:themeColor="background1"/>
                  <w:sz w:val="32"/>
                  <w:szCs w:val="32"/>
                </w:rPr>
                <w:t>Caracterización territorial del Bajo Martín-Sierra de Arcos. Asociación para el Desarrollo Integral del Bajo Martín y Andorra-Sierra de Arcos (</w:t>
              </w:r>
              <w:proofErr w:type="spellStart"/>
              <w:r w:rsidRPr="00DF360A">
                <w:rPr>
                  <w:b/>
                  <w:color w:val="FFFFFF" w:themeColor="background1"/>
                  <w:sz w:val="32"/>
                  <w:szCs w:val="32"/>
                </w:rPr>
                <w:t>Adibama</w:t>
              </w:r>
              <w:proofErr w:type="spellEnd"/>
              <w:r w:rsidRPr="00DF360A">
                <w:rPr>
                  <w:b/>
                  <w:color w:val="FFFFFF" w:themeColor="background1"/>
                  <w:sz w:val="32"/>
                  <w:szCs w:val="32"/>
                </w:rPr>
                <w:t>)</w:t>
              </w:r>
            </w:p>
          </w:sdtContent>
        </w:sdt>
        <w:p w:rsidR="005047FE" w:rsidRDefault="005047FE" w:rsidP="00DA6CCE">
          <w:pPr>
            <w:jc w:val="both"/>
            <w:rPr>
              <w:b/>
              <w:color w:val="000000" w:themeColor="text1"/>
              <w:sz w:val="32"/>
              <w:szCs w:val="32"/>
            </w:rPr>
          </w:pPr>
        </w:p>
        <w:p w:rsidR="005047FE" w:rsidRPr="005047FE" w:rsidRDefault="005047FE" w:rsidP="00DA6CCE">
          <w:pPr>
            <w:jc w:val="both"/>
            <w:rPr>
              <w:b/>
              <w:color w:val="000000" w:themeColor="text1"/>
              <w:sz w:val="32"/>
              <w:szCs w:val="32"/>
            </w:rPr>
          </w:pPr>
        </w:p>
        <w:p w:rsidR="005047FE" w:rsidRDefault="005047FE" w:rsidP="00DA6CCE">
          <w:pPr>
            <w:jc w:val="both"/>
            <w:rPr>
              <w:noProof/>
              <w:lang w:eastAsia="es-ES"/>
            </w:rPr>
          </w:pPr>
        </w:p>
        <w:p w:rsidR="00FA17CC" w:rsidRDefault="00DF360A" w:rsidP="00DF360A">
          <w:pPr>
            <w:jc w:val="center"/>
            <w:rPr>
              <w:noProof/>
              <w:lang w:eastAsia="es-ES"/>
            </w:rPr>
          </w:pPr>
          <w:r>
            <w:rPr>
              <w:noProof/>
              <w:lang w:eastAsia="es-ES"/>
            </w:rPr>
            <w:drawing>
              <wp:inline distT="0" distB="0" distL="0" distR="0" wp14:anchorId="31DF0CDD" wp14:editId="54FD4AC2">
                <wp:extent cx="3429000" cy="5242302"/>
                <wp:effectExtent l="0" t="0" r="0" b="0"/>
                <wp:docPr id="18" name="Imagen 18"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1908" cy="5246748"/>
                        </a:xfrm>
                        <a:prstGeom prst="rect">
                          <a:avLst/>
                        </a:prstGeom>
                        <a:noFill/>
                        <a:ln>
                          <a:noFill/>
                        </a:ln>
                      </pic:spPr>
                    </pic:pic>
                  </a:graphicData>
                </a:graphic>
              </wp:inline>
            </w:drawing>
          </w:r>
        </w:p>
        <w:p w:rsidR="00FA17CC" w:rsidRDefault="00FA17CC" w:rsidP="00DA6CCE">
          <w:pPr>
            <w:jc w:val="both"/>
            <w:rPr>
              <w:noProof/>
              <w:lang w:eastAsia="es-ES"/>
            </w:rPr>
          </w:pPr>
        </w:p>
        <w:tbl>
          <w:tblPr>
            <w:tblpPr w:leftFromText="187" w:rightFromText="187" w:vertAnchor="page" w:horzAnchor="margin" w:tblpY="15085"/>
            <w:tblOverlap w:val="never"/>
            <w:tblW w:w="0" w:type="auto"/>
            <w:tblLook w:val="04A0" w:firstRow="1" w:lastRow="0" w:firstColumn="1" w:lastColumn="0" w:noHBand="0" w:noVBand="1"/>
          </w:tblPr>
          <w:tblGrid>
            <w:gridCol w:w="8720"/>
          </w:tblGrid>
          <w:tr w:rsidR="00140D4F" w:rsidTr="00140D4F">
            <w:trPr>
              <w:trHeight w:val="360"/>
            </w:trPr>
            <w:tc>
              <w:tcPr>
                <w:tcW w:w="8720" w:type="dxa"/>
              </w:tcPr>
              <w:p w:rsidR="00140D4F" w:rsidRPr="005047FE" w:rsidRDefault="00140D4F" w:rsidP="00140D4F">
                <w:pPr>
                  <w:pStyle w:val="Sinespaciado"/>
                  <w:jc w:val="both"/>
                  <w:rPr>
                    <w:b/>
                    <w:color w:val="000000" w:themeColor="text1"/>
                    <w:sz w:val="32"/>
                    <w:szCs w:val="32"/>
                  </w:rPr>
                </w:pPr>
                <w:r w:rsidRPr="005047FE">
                  <w:rPr>
                    <w:b/>
                    <w:color w:val="000000" w:themeColor="text1"/>
                    <w:sz w:val="32"/>
                    <w:szCs w:val="32"/>
                  </w:rPr>
                  <w:t>RADR</w:t>
                </w:r>
              </w:p>
            </w:tc>
          </w:tr>
        </w:tbl>
        <w:p w:rsidR="00FA17CC" w:rsidRDefault="00FA17CC" w:rsidP="00DA6CCE">
          <w:pPr>
            <w:jc w:val="both"/>
            <w:rPr>
              <w:noProof/>
              <w:lang w:eastAsia="es-ES"/>
            </w:rPr>
          </w:pPr>
        </w:p>
        <w:p w:rsidR="00140D4F" w:rsidRDefault="00140D4F" w:rsidP="00DF360A">
          <w:pPr>
            <w:tabs>
              <w:tab w:val="left" w:pos="2448"/>
            </w:tabs>
            <w:jc w:val="both"/>
            <w:rPr>
              <w:noProof/>
              <w:lang w:eastAsia="es-ES"/>
            </w:rPr>
          </w:pPr>
        </w:p>
        <w:p w:rsidR="00DF360A" w:rsidRDefault="00DF360A" w:rsidP="00140D4F">
          <w:pPr>
            <w:tabs>
              <w:tab w:val="left" w:pos="2448"/>
            </w:tabs>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03807EE7" wp14:editId="7391081B">
                    <wp:simplePos x="0" y="0"/>
                    <wp:positionH relativeFrom="column">
                      <wp:posOffset>-117475</wp:posOffset>
                    </wp:positionH>
                    <wp:positionV relativeFrom="paragraph">
                      <wp:posOffset>63500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9.25pt;margin-top:5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425194" w:rsidRDefault="00425194"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1DF0E9C0" wp14:editId="3E441AA1">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7884" w:type="dxa"/>
            <w:jc w:val="center"/>
            <w:tblLook w:val="04A0" w:firstRow="1" w:lastRow="0" w:firstColumn="1" w:lastColumn="0" w:noHBand="0" w:noVBand="1"/>
          </w:tblPr>
          <w:tblGrid>
            <w:gridCol w:w="2635"/>
            <w:gridCol w:w="1509"/>
            <w:gridCol w:w="1275"/>
            <w:gridCol w:w="1190"/>
            <w:gridCol w:w="1275"/>
          </w:tblGrid>
          <w:tr w:rsidR="00DC45B6" w:rsidRPr="00DC45B6" w:rsidTr="00DC45B6">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noWrap/>
                <w:hideMark/>
              </w:tcPr>
              <w:p w:rsidR="00DC45B6" w:rsidRPr="00DC45B6" w:rsidRDefault="00DC45B6" w:rsidP="00DC45B6">
                <w:pPr>
                  <w:jc w:val="center"/>
                  <w:rPr>
                    <w:rFonts w:eastAsia="Times New Roman" w:cs="Times New Roman"/>
                    <w:sz w:val="20"/>
                    <w:szCs w:val="20"/>
                    <w:lang w:eastAsia="es-ES"/>
                  </w:rPr>
                </w:pPr>
                <w:r w:rsidRPr="00DC45B6">
                  <w:rPr>
                    <w:rFonts w:eastAsia="Times New Roman" w:cs="Times New Roman"/>
                    <w:sz w:val="20"/>
                    <w:szCs w:val="20"/>
                    <w:lang w:eastAsia="es-ES"/>
                  </w:rPr>
                  <w:t>GRUPO</w:t>
                </w:r>
              </w:p>
            </w:tc>
            <w:tc>
              <w:tcPr>
                <w:tcW w:w="1509" w:type="dxa"/>
                <w:noWrap/>
                <w:hideMark/>
              </w:tcPr>
              <w:p w:rsidR="00DC45B6" w:rsidRPr="00DC45B6" w:rsidRDefault="00DC45B6" w:rsidP="00DC45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ADIBAMA</w:t>
                </w:r>
              </w:p>
            </w:tc>
            <w:tc>
              <w:tcPr>
                <w:tcW w:w="1275" w:type="dxa"/>
                <w:noWrap/>
                <w:hideMark/>
              </w:tcPr>
              <w:p w:rsidR="00DC45B6" w:rsidRPr="00DC45B6" w:rsidRDefault="00DC45B6" w:rsidP="00DC45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190" w:type="dxa"/>
                <w:noWrap/>
                <w:hideMark/>
              </w:tcPr>
              <w:p w:rsidR="00DC45B6" w:rsidRPr="00DC45B6" w:rsidRDefault="00DC45B6" w:rsidP="00DC45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275" w:type="dxa"/>
                <w:noWrap/>
                <w:hideMark/>
              </w:tcPr>
              <w:p w:rsidR="00DC45B6" w:rsidRPr="00DC45B6" w:rsidRDefault="00DC45B6" w:rsidP="00DC45B6">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DC45B6" w:rsidRPr="00DC45B6" w:rsidTr="00DC45B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vMerge w:val="restart"/>
                <w:hideMark/>
              </w:tcPr>
              <w:p w:rsidR="00DC45B6" w:rsidRPr="00DC45B6" w:rsidRDefault="00DC45B6" w:rsidP="00DC45B6">
                <w:pPr>
                  <w:jc w:val="center"/>
                  <w:rPr>
                    <w:rFonts w:eastAsia="Times New Roman" w:cs="Times New Roman"/>
                    <w:sz w:val="20"/>
                    <w:szCs w:val="20"/>
                    <w:lang w:eastAsia="es-ES"/>
                  </w:rPr>
                </w:pPr>
                <w:r w:rsidRPr="00DC45B6">
                  <w:rPr>
                    <w:rFonts w:eastAsia="Times New Roman" w:cs="Times New Roman"/>
                    <w:sz w:val="20"/>
                    <w:szCs w:val="20"/>
                    <w:lang w:eastAsia="es-ES"/>
                  </w:rPr>
                  <w:t>Clasificación zona</w:t>
                </w:r>
              </w:p>
            </w:tc>
            <w:tc>
              <w:tcPr>
                <w:tcW w:w="2784" w:type="dxa"/>
                <w:gridSpan w:val="2"/>
                <w:noWrap/>
                <w:hideMark/>
              </w:tcPr>
              <w:p w:rsidR="00DC45B6" w:rsidRPr="00DC45B6" w:rsidRDefault="00DC45B6" w:rsidP="00DC45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Población</w:t>
                </w:r>
              </w:p>
            </w:tc>
            <w:tc>
              <w:tcPr>
                <w:tcW w:w="2465" w:type="dxa"/>
                <w:gridSpan w:val="2"/>
                <w:noWrap/>
                <w:hideMark/>
              </w:tcPr>
              <w:p w:rsidR="00DC45B6" w:rsidRPr="00DC45B6" w:rsidRDefault="00DC45B6" w:rsidP="00DC45B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Localidades</w:t>
                </w:r>
              </w:p>
            </w:tc>
          </w:tr>
          <w:tr w:rsidR="00DC45B6" w:rsidRPr="00DC45B6" w:rsidTr="00DC45B6">
            <w:trPr>
              <w:cnfStyle w:val="000000010000" w:firstRow="0" w:lastRow="0" w:firstColumn="0" w:lastColumn="0" w:oddVBand="0" w:evenVBand="0" w:oddHBand="0" w:evenHBand="1"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vMerge/>
                <w:hideMark/>
              </w:tcPr>
              <w:p w:rsidR="00DC45B6" w:rsidRPr="00DC45B6" w:rsidRDefault="00DC45B6" w:rsidP="00DC45B6">
                <w:pPr>
                  <w:rPr>
                    <w:rFonts w:eastAsia="Times New Roman" w:cs="Times New Roman"/>
                    <w:sz w:val="20"/>
                    <w:szCs w:val="20"/>
                    <w:lang w:eastAsia="es-ES"/>
                  </w:rPr>
                </w:pPr>
              </w:p>
            </w:tc>
            <w:tc>
              <w:tcPr>
                <w:tcW w:w="1509" w:type="dxa"/>
                <w:noWrap/>
                <w:hideMark/>
              </w:tcPr>
              <w:p w:rsidR="00DC45B6" w:rsidRPr="00DC45B6" w:rsidRDefault="00DC45B6" w:rsidP="00DC45B6">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Nº</w:t>
                </w:r>
              </w:p>
            </w:tc>
            <w:tc>
              <w:tcPr>
                <w:tcW w:w="1275" w:type="dxa"/>
                <w:noWrap/>
                <w:hideMark/>
              </w:tcPr>
              <w:p w:rsidR="00DC45B6" w:rsidRPr="00DC45B6" w:rsidRDefault="00DC45B6" w:rsidP="00DC45B6">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w:t>
                </w:r>
              </w:p>
            </w:tc>
            <w:tc>
              <w:tcPr>
                <w:tcW w:w="1190" w:type="dxa"/>
                <w:noWrap/>
                <w:hideMark/>
              </w:tcPr>
              <w:p w:rsidR="00DC45B6" w:rsidRPr="00DC45B6" w:rsidRDefault="00DC45B6" w:rsidP="00DC45B6">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Nº</w:t>
                </w:r>
              </w:p>
            </w:tc>
            <w:tc>
              <w:tcPr>
                <w:tcW w:w="1275" w:type="dxa"/>
                <w:noWrap/>
                <w:hideMark/>
              </w:tcPr>
              <w:p w:rsidR="00DC45B6" w:rsidRPr="00DC45B6" w:rsidRDefault="00DC45B6" w:rsidP="00DC45B6">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DC45B6">
                  <w:rPr>
                    <w:rFonts w:eastAsia="Times New Roman" w:cs="Times New Roman"/>
                    <w:b/>
                    <w:bCs/>
                    <w:sz w:val="20"/>
                    <w:szCs w:val="20"/>
                    <w:lang w:eastAsia="es-ES"/>
                  </w:rPr>
                  <w:t>%</w:t>
                </w:r>
              </w:p>
            </w:tc>
          </w:tr>
          <w:tr w:rsidR="00DC45B6" w:rsidRPr="00DC45B6" w:rsidTr="00DC45B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noWrap/>
                <w:hideMark/>
              </w:tcPr>
              <w:p w:rsidR="00DC45B6" w:rsidRPr="00DC45B6" w:rsidRDefault="00DC45B6" w:rsidP="00DC45B6">
                <w:pPr>
                  <w:rPr>
                    <w:rFonts w:eastAsia="Times New Roman" w:cs="Times New Roman"/>
                    <w:sz w:val="20"/>
                    <w:szCs w:val="20"/>
                    <w:lang w:eastAsia="es-ES"/>
                  </w:rPr>
                </w:pPr>
                <w:r>
                  <w:rPr>
                    <w:rFonts w:eastAsia="Times New Roman" w:cs="Times New Roman"/>
                    <w:sz w:val="20"/>
                    <w:szCs w:val="20"/>
                    <w:lang w:eastAsia="es-ES"/>
                  </w:rPr>
                  <w:t>Z</w:t>
                </w:r>
                <w:r w:rsidRPr="00DC45B6">
                  <w:rPr>
                    <w:rFonts w:eastAsia="Times New Roman" w:cs="Times New Roman"/>
                    <w:sz w:val="20"/>
                    <w:szCs w:val="20"/>
                    <w:lang w:eastAsia="es-ES"/>
                  </w:rPr>
                  <w:t>ona rural (&lt;2000)</w:t>
                </w:r>
              </w:p>
            </w:tc>
            <w:tc>
              <w:tcPr>
                <w:tcW w:w="1509"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7554</w:t>
                </w:r>
              </w:p>
            </w:tc>
            <w:tc>
              <w:tcPr>
                <w:tcW w:w="1275"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42,25%</w:t>
                </w:r>
              </w:p>
            </w:tc>
            <w:tc>
              <w:tcPr>
                <w:tcW w:w="1190"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16</w:t>
                </w:r>
              </w:p>
            </w:tc>
            <w:tc>
              <w:tcPr>
                <w:tcW w:w="1275"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88,89%</w:t>
                </w:r>
              </w:p>
            </w:tc>
          </w:tr>
          <w:tr w:rsidR="00DC45B6" w:rsidRPr="00DC45B6" w:rsidTr="00DC45B6">
            <w:trPr>
              <w:cnfStyle w:val="000000010000" w:firstRow="0" w:lastRow="0" w:firstColumn="0" w:lastColumn="0" w:oddVBand="0" w:evenVBand="0" w:oddHBand="0" w:evenHBand="1"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noWrap/>
                <w:hideMark/>
              </w:tcPr>
              <w:p w:rsidR="00DC45B6" w:rsidRPr="00DC45B6" w:rsidRDefault="00DC45B6" w:rsidP="00DC45B6">
                <w:pPr>
                  <w:rPr>
                    <w:rFonts w:eastAsia="Times New Roman" w:cs="Times New Roman"/>
                    <w:sz w:val="20"/>
                    <w:szCs w:val="20"/>
                    <w:lang w:eastAsia="es-ES"/>
                  </w:rPr>
                </w:pPr>
                <w:r>
                  <w:rPr>
                    <w:rFonts w:eastAsia="Times New Roman" w:cs="Times New Roman"/>
                    <w:sz w:val="20"/>
                    <w:szCs w:val="20"/>
                    <w:lang w:eastAsia="es-ES"/>
                  </w:rPr>
                  <w:t>Z</w:t>
                </w:r>
                <w:r w:rsidRPr="00DC45B6">
                  <w:rPr>
                    <w:rFonts w:eastAsia="Times New Roman" w:cs="Times New Roman"/>
                    <w:sz w:val="20"/>
                    <w:szCs w:val="20"/>
                    <w:lang w:eastAsia="es-ES"/>
                  </w:rPr>
                  <w:t>ona intermedia (&lt; 10000)</w:t>
                </w:r>
              </w:p>
            </w:tc>
            <w:tc>
              <w:tcPr>
                <w:tcW w:w="1509"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10327</w:t>
                </w:r>
              </w:p>
            </w:tc>
            <w:tc>
              <w:tcPr>
                <w:tcW w:w="1275"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57,75%</w:t>
                </w:r>
              </w:p>
            </w:tc>
            <w:tc>
              <w:tcPr>
                <w:tcW w:w="1190"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2</w:t>
                </w:r>
              </w:p>
            </w:tc>
            <w:tc>
              <w:tcPr>
                <w:tcW w:w="1275"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11,11%</w:t>
                </w:r>
              </w:p>
            </w:tc>
          </w:tr>
          <w:tr w:rsidR="00DC45B6" w:rsidRPr="00DC45B6" w:rsidTr="00DC45B6">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noWrap/>
                <w:hideMark/>
              </w:tcPr>
              <w:p w:rsidR="00DC45B6" w:rsidRPr="00DC45B6" w:rsidRDefault="00DC45B6" w:rsidP="00DC45B6">
                <w:pPr>
                  <w:rPr>
                    <w:rFonts w:eastAsia="Times New Roman" w:cs="Times New Roman"/>
                    <w:sz w:val="20"/>
                    <w:szCs w:val="20"/>
                    <w:lang w:eastAsia="es-ES"/>
                  </w:rPr>
                </w:pPr>
                <w:r>
                  <w:rPr>
                    <w:rFonts w:eastAsia="Times New Roman" w:cs="Times New Roman"/>
                    <w:sz w:val="20"/>
                    <w:szCs w:val="20"/>
                    <w:lang w:eastAsia="es-ES"/>
                  </w:rPr>
                  <w:t>Z</w:t>
                </w:r>
                <w:r w:rsidRPr="00DC45B6">
                  <w:rPr>
                    <w:rFonts w:eastAsia="Times New Roman" w:cs="Times New Roman"/>
                    <w:sz w:val="20"/>
                    <w:szCs w:val="20"/>
                    <w:lang w:eastAsia="es-ES"/>
                  </w:rPr>
                  <w:t>ona urbana (&gt; 10000)</w:t>
                </w:r>
              </w:p>
            </w:tc>
            <w:tc>
              <w:tcPr>
                <w:tcW w:w="1509"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0</w:t>
                </w:r>
              </w:p>
            </w:tc>
            <w:tc>
              <w:tcPr>
                <w:tcW w:w="1275"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0,00%</w:t>
                </w:r>
              </w:p>
            </w:tc>
            <w:tc>
              <w:tcPr>
                <w:tcW w:w="1190"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0</w:t>
                </w:r>
              </w:p>
            </w:tc>
            <w:tc>
              <w:tcPr>
                <w:tcW w:w="1275" w:type="dxa"/>
                <w:noWrap/>
                <w:hideMark/>
              </w:tcPr>
              <w:p w:rsidR="00DC45B6" w:rsidRPr="00DC45B6" w:rsidRDefault="00DC45B6" w:rsidP="00DC45B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0,00%</w:t>
                </w:r>
              </w:p>
            </w:tc>
          </w:tr>
          <w:tr w:rsidR="00DC45B6" w:rsidRPr="00DC45B6" w:rsidTr="00DC45B6">
            <w:trPr>
              <w:cnfStyle w:val="000000010000" w:firstRow="0" w:lastRow="0" w:firstColumn="0" w:lastColumn="0" w:oddVBand="0" w:evenVBand="0" w:oddHBand="0" w:evenHBand="1"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635" w:type="dxa"/>
                <w:noWrap/>
                <w:hideMark/>
              </w:tcPr>
              <w:p w:rsidR="00DC45B6" w:rsidRPr="00DC45B6" w:rsidRDefault="00DC45B6" w:rsidP="00DC45B6">
                <w:pPr>
                  <w:rPr>
                    <w:rFonts w:eastAsia="Times New Roman" w:cs="Times New Roman"/>
                    <w:sz w:val="20"/>
                    <w:szCs w:val="20"/>
                    <w:lang w:eastAsia="es-ES"/>
                  </w:rPr>
                </w:pPr>
                <w:r>
                  <w:rPr>
                    <w:rFonts w:eastAsia="Times New Roman" w:cs="Times New Roman"/>
                    <w:sz w:val="20"/>
                    <w:szCs w:val="20"/>
                    <w:lang w:eastAsia="es-ES"/>
                  </w:rPr>
                  <w:t>T</w:t>
                </w:r>
                <w:r w:rsidRPr="00DC45B6">
                  <w:rPr>
                    <w:rFonts w:eastAsia="Times New Roman" w:cs="Times New Roman"/>
                    <w:sz w:val="20"/>
                    <w:szCs w:val="20"/>
                    <w:lang w:eastAsia="es-ES"/>
                  </w:rPr>
                  <w:t>otal</w:t>
                </w:r>
              </w:p>
            </w:tc>
            <w:tc>
              <w:tcPr>
                <w:tcW w:w="1509"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17881</w:t>
                </w:r>
              </w:p>
            </w:tc>
            <w:tc>
              <w:tcPr>
                <w:tcW w:w="1275"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100,00%</w:t>
                </w:r>
              </w:p>
            </w:tc>
            <w:tc>
              <w:tcPr>
                <w:tcW w:w="1190"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18</w:t>
                </w:r>
              </w:p>
            </w:tc>
            <w:tc>
              <w:tcPr>
                <w:tcW w:w="1275" w:type="dxa"/>
                <w:noWrap/>
                <w:hideMark/>
              </w:tcPr>
              <w:p w:rsidR="00DC45B6" w:rsidRPr="00DC45B6" w:rsidRDefault="00DC45B6" w:rsidP="00DC45B6">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DC45B6">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DC45B6" w:rsidP="00DA6CCE">
          <w:pPr>
            <w:pStyle w:val="Prrafodelista"/>
            <w:ind w:left="284"/>
            <w:jc w:val="both"/>
            <w:rPr>
              <w:noProof/>
              <w:lang w:eastAsia="es-ES"/>
            </w:rPr>
          </w:pPr>
          <w:r>
            <w:rPr>
              <w:noProof/>
              <w:lang w:eastAsia="es-ES"/>
            </w:rPr>
            <w:drawing>
              <wp:inline distT="0" distB="0" distL="0" distR="0" wp14:anchorId="55BE6EF3" wp14:editId="05B33FAA">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DC45B6" w:rsidP="00DC45B6">
          <w:pPr>
            <w:pStyle w:val="Prrafodelista"/>
            <w:ind w:left="426"/>
            <w:jc w:val="center"/>
            <w:rPr>
              <w:b/>
              <w:sz w:val="24"/>
              <w:szCs w:val="24"/>
            </w:rPr>
          </w:pPr>
          <w:r>
            <w:rPr>
              <w:noProof/>
              <w:lang w:eastAsia="es-ES"/>
            </w:rPr>
            <w:drawing>
              <wp:inline distT="0" distB="0" distL="0" distR="0" wp14:anchorId="62CC82BD" wp14:editId="5AC06693">
                <wp:extent cx="5486400" cy="2794000"/>
                <wp:effectExtent l="0" t="0" r="19050" b="254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DC45B6" w:rsidP="00DA6CCE">
          <w:pPr>
            <w:pStyle w:val="Prrafodelista"/>
            <w:ind w:left="567"/>
            <w:jc w:val="both"/>
            <w:rPr>
              <w:sz w:val="24"/>
              <w:szCs w:val="24"/>
            </w:rPr>
          </w:pPr>
          <w:r w:rsidRPr="00DC45B6">
            <w:rPr>
              <w:noProof/>
              <w:lang w:eastAsia="es-ES"/>
            </w:rPr>
            <w:drawing>
              <wp:inline distT="0" distB="0" distL="0" distR="0" wp14:anchorId="222BEE0B" wp14:editId="0A57F145">
                <wp:extent cx="5394960" cy="1066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067805"/>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DC45B6" w:rsidP="00DA6CCE">
          <w:pPr>
            <w:pStyle w:val="Prrafodelista"/>
            <w:jc w:val="both"/>
            <w:rPr>
              <w:sz w:val="24"/>
              <w:szCs w:val="24"/>
            </w:rPr>
          </w:pPr>
          <w:r w:rsidRPr="00DC45B6">
            <w:rPr>
              <w:noProof/>
              <w:lang w:eastAsia="es-ES"/>
            </w:rPr>
            <w:drawing>
              <wp:inline distT="0" distB="0" distL="0" distR="0" wp14:anchorId="6ACF8C4D" wp14:editId="37465491">
                <wp:extent cx="5394960" cy="11379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138991"/>
                        </a:xfrm>
                        <a:prstGeom prst="rect">
                          <a:avLst/>
                        </a:prstGeom>
                        <a:noFill/>
                        <a:ln>
                          <a:noFill/>
                        </a:ln>
                      </pic:spPr>
                    </pic:pic>
                  </a:graphicData>
                </a:graphic>
              </wp:inline>
            </w:drawing>
          </w:r>
        </w:p>
        <w:p w:rsidR="00533C22" w:rsidRDefault="00533C22" w:rsidP="00DA6CCE">
          <w:pPr>
            <w:jc w:val="both"/>
            <w:rPr>
              <w:sz w:val="24"/>
              <w:szCs w:val="24"/>
            </w:rPr>
          </w:pPr>
        </w:p>
        <w:p w:rsidR="00247F9F" w:rsidRDefault="00247F9F" w:rsidP="00DA6CCE">
          <w:pPr>
            <w:jc w:val="both"/>
            <w:rPr>
              <w:sz w:val="24"/>
              <w:szCs w:val="24"/>
            </w:rPr>
          </w:pPr>
        </w:p>
        <w:p w:rsidR="00AF7330" w:rsidRPr="0092710E" w:rsidRDefault="00AF7330"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DC45B6" w:rsidP="00DA6CCE">
          <w:pPr>
            <w:pStyle w:val="Prrafodelista"/>
            <w:ind w:left="426"/>
            <w:jc w:val="both"/>
          </w:pPr>
          <w:r w:rsidRPr="00DC45B6">
            <w:rPr>
              <w:noProof/>
              <w:lang w:eastAsia="es-ES"/>
            </w:rPr>
            <w:drawing>
              <wp:inline distT="0" distB="0" distL="0" distR="0" wp14:anchorId="20271C6A" wp14:editId="1779CAE7">
                <wp:extent cx="5360666" cy="4978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01497"/>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DC45B6" w:rsidP="00DA6CCE">
          <w:pPr>
            <w:pStyle w:val="Prrafodelista"/>
            <w:ind w:left="426"/>
            <w:jc w:val="both"/>
            <w:rPr>
              <w:b/>
              <w:sz w:val="24"/>
              <w:szCs w:val="24"/>
            </w:rPr>
          </w:pPr>
          <w:r w:rsidRPr="00DC45B6">
            <w:rPr>
              <w:noProof/>
              <w:lang w:eastAsia="es-ES"/>
            </w:rPr>
            <w:drawing>
              <wp:inline distT="0" distB="0" distL="0" distR="0" wp14:anchorId="3669C2D4" wp14:editId="126420BA">
                <wp:extent cx="5360661" cy="52832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32201"/>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DC45B6" w:rsidP="00DA6CCE">
          <w:pPr>
            <w:pStyle w:val="Prrafodelista"/>
            <w:ind w:left="426"/>
            <w:jc w:val="both"/>
            <w:rPr>
              <w:b/>
              <w:sz w:val="24"/>
              <w:szCs w:val="24"/>
            </w:rPr>
          </w:pPr>
          <w:r w:rsidRPr="00DC45B6">
            <w:rPr>
              <w:noProof/>
              <w:lang w:eastAsia="es-ES"/>
            </w:rPr>
            <w:drawing>
              <wp:inline distT="0" distB="0" distL="0" distR="0" wp14:anchorId="26482DA7" wp14:editId="3A0C2E58">
                <wp:extent cx="5360660" cy="5080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511732"/>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BF7E34" w:rsidP="00FA17CC">
          <w:pPr>
            <w:pStyle w:val="Prrafodelista"/>
            <w:ind w:hanging="153"/>
            <w:jc w:val="both"/>
            <w:rPr>
              <w:b/>
              <w:sz w:val="24"/>
              <w:szCs w:val="24"/>
            </w:rPr>
          </w:pPr>
          <w:r>
            <w:rPr>
              <w:noProof/>
              <w:lang w:eastAsia="es-ES"/>
            </w:rPr>
            <w:drawing>
              <wp:inline distT="0" distB="0" distL="0" distR="0" wp14:anchorId="47BBCBB2" wp14:editId="31790D09">
                <wp:extent cx="5400040" cy="2457452"/>
                <wp:effectExtent l="38100" t="0" r="1016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0C45" w:rsidRDefault="00BF7E34" w:rsidP="002E3108">
          <w:pPr>
            <w:pStyle w:val="Prrafodelista"/>
            <w:ind w:left="709" w:right="-1" w:hanging="142"/>
            <w:jc w:val="both"/>
            <w:rPr>
              <w:b/>
              <w:sz w:val="24"/>
              <w:szCs w:val="24"/>
            </w:rPr>
          </w:pPr>
          <w:r>
            <w:rPr>
              <w:noProof/>
              <w:lang w:eastAsia="es-ES"/>
            </w:rPr>
            <w:drawing>
              <wp:inline distT="0" distB="0" distL="0" distR="0" wp14:anchorId="638D95C9" wp14:editId="4ACB49AC">
                <wp:extent cx="5417820" cy="2743200"/>
                <wp:effectExtent l="0" t="0" r="1143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3108" w:rsidRDefault="002E3108" w:rsidP="002E3108">
          <w:pPr>
            <w:pStyle w:val="Prrafodelista"/>
            <w:ind w:left="709" w:right="-1" w:hanging="142"/>
            <w:jc w:val="both"/>
            <w:rPr>
              <w:b/>
              <w:sz w:val="24"/>
              <w:szCs w:val="24"/>
            </w:rPr>
          </w:pPr>
        </w:p>
        <w:p w:rsidR="00140D4F" w:rsidRDefault="00140D4F" w:rsidP="002E3108">
          <w:pPr>
            <w:pStyle w:val="Prrafodelista"/>
            <w:ind w:left="709" w:right="-1" w:hanging="142"/>
            <w:jc w:val="both"/>
            <w:rPr>
              <w:b/>
              <w:sz w:val="24"/>
              <w:szCs w:val="24"/>
            </w:rPr>
          </w:pPr>
        </w:p>
        <w:p w:rsidR="00140D4F" w:rsidRPr="002E3108" w:rsidRDefault="00140D4F" w:rsidP="002E3108">
          <w:pPr>
            <w:pStyle w:val="Prrafodelista"/>
            <w:ind w:left="709" w:right="-1" w:hanging="142"/>
            <w:jc w:val="both"/>
            <w:rPr>
              <w:b/>
              <w:sz w:val="24"/>
              <w:szCs w:val="24"/>
            </w:rPr>
          </w:pPr>
        </w:p>
        <w:p w:rsidR="00906EF5" w:rsidRPr="00187242" w:rsidRDefault="00906EF5" w:rsidP="00DA6CCE">
          <w:pPr>
            <w:pStyle w:val="Prrafodelista"/>
            <w:numPr>
              <w:ilvl w:val="0"/>
              <w:numId w:val="1"/>
            </w:numPr>
            <w:jc w:val="both"/>
            <w:rPr>
              <w:b/>
              <w:sz w:val="24"/>
              <w:szCs w:val="24"/>
            </w:rPr>
          </w:pPr>
          <w:r w:rsidRPr="00187242">
            <w:rPr>
              <w:b/>
              <w:sz w:val="24"/>
              <w:szCs w:val="24"/>
            </w:rPr>
            <w:t>Tasas e indicadores:</w:t>
          </w:r>
        </w:p>
        <w:tbl>
          <w:tblPr>
            <w:tblStyle w:val="Sombreadomedio1-nfasis4"/>
            <w:tblW w:w="7720" w:type="dxa"/>
            <w:jc w:val="right"/>
            <w:tblInd w:w="809" w:type="dxa"/>
            <w:tblLook w:val="04A0" w:firstRow="1" w:lastRow="0" w:firstColumn="1" w:lastColumn="0" w:noHBand="0" w:noVBand="1"/>
          </w:tblPr>
          <w:tblGrid>
            <w:gridCol w:w="2500"/>
            <w:gridCol w:w="2420"/>
            <w:gridCol w:w="2800"/>
          </w:tblGrid>
          <w:tr w:rsidR="00190C45" w:rsidRPr="004A1B29" w:rsidTr="004A1B29">
            <w:trPr>
              <w:cnfStyle w:val="100000000000" w:firstRow="1" w:lastRow="0" w:firstColumn="0" w:lastColumn="0" w:oddVBand="0" w:evenVBand="0" w:oddHBand="0"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90C45" w:rsidRPr="004A1B29" w:rsidRDefault="00190C45" w:rsidP="00190C45">
                <w:pPr>
                  <w:jc w:val="center"/>
                  <w:rPr>
                    <w:rFonts w:eastAsia="Times New Roman" w:cs="Times New Roman"/>
                    <w:sz w:val="20"/>
                    <w:szCs w:val="20"/>
                    <w:lang w:eastAsia="es-ES"/>
                  </w:rPr>
                </w:pPr>
                <w:r w:rsidRPr="004A1B29">
                  <w:rPr>
                    <w:rFonts w:eastAsia="Times New Roman" w:cs="Times New Roman"/>
                    <w:sz w:val="20"/>
                    <w:szCs w:val="20"/>
                    <w:lang w:eastAsia="es-ES"/>
                  </w:rPr>
                  <w:t>Tasa de masculinidad</w:t>
                </w:r>
              </w:p>
            </w:tc>
            <w:tc>
              <w:tcPr>
                <w:tcW w:w="2420" w:type="dxa"/>
                <w:vMerge w:val="restart"/>
                <w:noWrap/>
                <w:hideMark/>
              </w:tcPr>
              <w:p w:rsidR="00190C45" w:rsidRPr="004A1B29" w:rsidRDefault="00190C45" w:rsidP="00190C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A1B29">
                  <w:rPr>
                    <w:rFonts w:eastAsia="Times New Roman" w:cs="Times New Roman"/>
                    <w:sz w:val="20"/>
                    <w:szCs w:val="20"/>
                    <w:lang w:eastAsia="es-ES"/>
                  </w:rPr>
                  <w:t>Aragón</w:t>
                </w:r>
              </w:p>
            </w:tc>
            <w:tc>
              <w:tcPr>
                <w:tcW w:w="2800" w:type="dxa"/>
                <w:vMerge w:val="restart"/>
                <w:noWrap/>
                <w:hideMark/>
              </w:tcPr>
              <w:p w:rsidR="00190C45" w:rsidRPr="004A1B29" w:rsidRDefault="00190C45" w:rsidP="00190C4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A1B29">
                  <w:rPr>
                    <w:rFonts w:eastAsia="Times New Roman" w:cs="Times New Roman"/>
                    <w:sz w:val="20"/>
                    <w:szCs w:val="20"/>
                    <w:lang w:eastAsia="es-ES"/>
                  </w:rPr>
                  <w:t>GAL</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98,94%</w:t>
                </w:r>
              </w:p>
            </w:tc>
            <w:tc>
              <w:tcPr>
                <w:tcW w:w="280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104,80%</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504"/>
              <w:jc w:val="right"/>
            </w:trPr>
            <w:tc>
              <w:tcPr>
                <w:cnfStyle w:val="001000000000" w:firstRow="0" w:lastRow="0" w:firstColumn="1" w:lastColumn="0" w:oddVBand="0" w:evenVBand="0" w:oddHBand="0" w:evenHBand="0" w:firstRowFirstColumn="0" w:firstRowLastColumn="0" w:lastRowFirstColumn="0" w:lastRowLastColumn="0"/>
                <w:tcW w:w="2500" w:type="dxa"/>
                <w:hideMark/>
              </w:tcPr>
              <w:p w:rsidR="00190C45" w:rsidRPr="004A1B29" w:rsidRDefault="00190C45" w:rsidP="00190C45">
                <w:pPr>
                  <w:rPr>
                    <w:rFonts w:eastAsia="Times New Roman" w:cs="Times New Roman"/>
                    <w:sz w:val="20"/>
                    <w:szCs w:val="20"/>
                    <w:lang w:eastAsia="es-ES"/>
                  </w:rPr>
                </w:pPr>
                <w:r w:rsidRPr="004A1B29">
                  <w:rPr>
                    <w:rFonts w:eastAsia="Times New Roman" w:cs="Times New Roman"/>
                    <w:sz w:val="20"/>
                    <w:szCs w:val="20"/>
                    <w:lang w:eastAsia="es-ES"/>
                  </w:rPr>
                  <w:t>(número de varones dividido entre número de mujeres</w:t>
                </w:r>
              </w:p>
            </w:tc>
            <w:tc>
              <w:tcPr>
                <w:tcW w:w="242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noWrap/>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90C45" w:rsidRPr="004A1B29" w:rsidRDefault="00190C45" w:rsidP="00190C45">
                <w:pPr>
                  <w:jc w:val="center"/>
                  <w:rPr>
                    <w:rFonts w:eastAsia="Times New Roman" w:cs="Times New Roman"/>
                    <w:sz w:val="20"/>
                    <w:szCs w:val="20"/>
                    <w:lang w:eastAsia="es-ES"/>
                  </w:rPr>
                </w:pPr>
                <w:r w:rsidRPr="004A1B29">
                  <w:rPr>
                    <w:rFonts w:eastAsia="Times New Roman" w:cs="Times New Roman"/>
                    <w:sz w:val="20"/>
                    <w:szCs w:val="20"/>
                    <w:lang w:eastAsia="es-ES"/>
                  </w:rPr>
                  <w:t>Índice de maternidad</w:t>
                </w:r>
              </w:p>
            </w:tc>
            <w:tc>
              <w:tcPr>
                <w:tcW w:w="2420" w:type="dxa"/>
                <w:vMerge w:val="restart"/>
                <w:noWrap/>
                <w:hideMark/>
              </w:tcPr>
              <w:p w:rsidR="00190C45" w:rsidRPr="004A1B29" w:rsidRDefault="00190C45" w:rsidP="00190C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Aragón</w:t>
                </w:r>
              </w:p>
            </w:tc>
            <w:tc>
              <w:tcPr>
                <w:tcW w:w="2800" w:type="dxa"/>
                <w:vMerge w:val="restart"/>
                <w:noWrap/>
                <w:hideMark/>
              </w:tcPr>
              <w:p w:rsidR="00190C45" w:rsidRPr="004A1B29" w:rsidRDefault="00190C45" w:rsidP="00190C4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GAL</w:t>
                </w: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vMerge/>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20,92%</w:t>
                </w:r>
              </w:p>
            </w:tc>
            <w:tc>
              <w:tcPr>
                <w:tcW w:w="2800" w:type="dxa"/>
                <w:noWrap/>
                <w:hideMark/>
              </w:tcPr>
              <w:p w:rsidR="00190C45" w:rsidRPr="004A1B29" w:rsidRDefault="00190C45" w:rsidP="00190C4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18,05%</w:t>
                </w: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756"/>
              <w:jc w:val="right"/>
            </w:trPr>
            <w:tc>
              <w:tcPr>
                <w:cnfStyle w:val="001000000000" w:firstRow="0" w:lastRow="0" w:firstColumn="1" w:lastColumn="0" w:oddVBand="0" w:evenVBand="0" w:oddHBand="0" w:evenHBand="0" w:firstRowFirstColumn="0" w:firstRowLastColumn="0" w:lastRowFirstColumn="0" w:lastRowLastColumn="0"/>
                <w:tcW w:w="2500" w:type="dxa"/>
                <w:hideMark/>
              </w:tcPr>
              <w:p w:rsidR="00190C45" w:rsidRPr="004A1B29" w:rsidRDefault="00190C45" w:rsidP="00190C45">
                <w:pPr>
                  <w:rPr>
                    <w:rFonts w:eastAsia="Times New Roman" w:cs="Times New Roman"/>
                    <w:sz w:val="20"/>
                    <w:szCs w:val="20"/>
                    <w:lang w:eastAsia="es-ES"/>
                  </w:rPr>
                </w:pPr>
                <w:r w:rsidRPr="004A1B29">
                  <w:rPr>
                    <w:rFonts w:eastAsia="Times New Roman" w:cs="Times New Roman"/>
                    <w:sz w:val="20"/>
                    <w:szCs w:val="20"/>
                    <w:lang w:eastAsia="es-ES"/>
                  </w:rPr>
                  <w:t>(número de niños de 0 a4 años entre mujeres de 15 a 49)</w:t>
                </w:r>
              </w:p>
            </w:tc>
            <w:tc>
              <w:tcPr>
                <w:tcW w:w="242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noWrap/>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90C45" w:rsidRPr="004A1B29" w:rsidRDefault="00190C45" w:rsidP="00190C45">
                <w:pPr>
                  <w:jc w:val="center"/>
                  <w:rPr>
                    <w:rFonts w:eastAsia="Times New Roman" w:cs="Times New Roman"/>
                    <w:sz w:val="20"/>
                    <w:szCs w:val="20"/>
                    <w:lang w:eastAsia="es-ES"/>
                  </w:rPr>
                </w:pPr>
                <w:r w:rsidRPr="004A1B29">
                  <w:rPr>
                    <w:rFonts w:eastAsia="Times New Roman" w:cs="Times New Roman"/>
                    <w:sz w:val="20"/>
                    <w:szCs w:val="20"/>
                    <w:lang w:eastAsia="es-ES"/>
                  </w:rPr>
                  <w:t>Índice de potencialidad</w:t>
                </w:r>
              </w:p>
            </w:tc>
            <w:tc>
              <w:tcPr>
                <w:tcW w:w="2420" w:type="dxa"/>
                <w:vMerge w:val="restart"/>
                <w:noWrap/>
                <w:hideMark/>
              </w:tcPr>
              <w:p w:rsidR="00190C45" w:rsidRPr="004A1B29" w:rsidRDefault="00190C45" w:rsidP="00190C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Aragón</w:t>
                </w:r>
              </w:p>
            </w:tc>
            <w:tc>
              <w:tcPr>
                <w:tcW w:w="2800" w:type="dxa"/>
                <w:vMerge w:val="restart"/>
                <w:noWrap/>
                <w:hideMark/>
              </w:tcPr>
              <w:p w:rsidR="00190C45" w:rsidRPr="004A1B29" w:rsidRDefault="00190C45" w:rsidP="00190C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GAL</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77,01%</w:t>
                </w:r>
              </w:p>
            </w:tc>
            <w:tc>
              <w:tcPr>
                <w:tcW w:w="280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79,53%</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756"/>
              <w:jc w:val="right"/>
            </w:trPr>
            <w:tc>
              <w:tcPr>
                <w:cnfStyle w:val="001000000000" w:firstRow="0" w:lastRow="0" w:firstColumn="1" w:lastColumn="0" w:oddVBand="0" w:evenVBand="0" w:oddHBand="0" w:evenHBand="0" w:firstRowFirstColumn="0" w:firstRowLastColumn="0" w:lastRowFirstColumn="0" w:lastRowLastColumn="0"/>
                <w:tcW w:w="2500" w:type="dxa"/>
                <w:hideMark/>
              </w:tcPr>
              <w:p w:rsidR="00190C45" w:rsidRPr="004A1B29" w:rsidRDefault="00190C45" w:rsidP="00190C45">
                <w:pPr>
                  <w:rPr>
                    <w:rFonts w:eastAsia="Times New Roman" w:cs="Times New Roman"/>
                    <w:sz w:val="20"/>
                    <w:szCs w:val="20"/>
                    <w:lang w:eastAsia="es-ES"/>
                  </w:rPr>
                </w:pPr>
                <w:r w:rsidRPr="004A1B29">
                  <w:rPr>
                    <w:rFonts w:eastAsia="Times New Roman" w:cs="Times New Roman"/>
                    <w:sz w:val="20"/>
                    <w:szCs w:val="20"/>
                    <w:lang w:eastAsia="es-ES"/>
                  </w:rPr>
                  <w:t>(número mujeres de 20 a 34 entre mujeres de 35 a 49)</w:t>
                </w:r>
              </w:p>
            </w:tc>
            <w:tc>
              <w:tcPr>
                <w:tcW w:w="242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noWrap/>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noWrap/>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5"/>
              <w:jc w:val="right"/>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190C45" w:rsidRPr="004A1B29" w:rsidRDefault="004A1B29" w:rsidP="00190C45">
                <w:pPr>
                  <w:jc w:val="center"/>
                  <w:rPr>
                    <w:rFonts w:eastAsia="Times New Roman" w:cs="Times New Roman"/>
                    <w:sz w:val="20"/>
                    <w:szCs w:val="20"/>
                    <w:lang w:eastAsia="es-ES"/>
                  </w:rPr>
                </w:pPr>
                <w:r w:rsidRPr="004A1B29">
                  <w:rPr>
                    <w:rFonts w:eastAsia="Times New Roman" w:cs="Times New Roman"/>
                    <w:sz w:val="20"/>
                    <w:szCs w:val="20"/>
                    <w:lang w:eastAsia="es-ES"/>
                  </w:rPr>
                  <w:t>Coeficiente de sustitució</w:t>
                </w:r>
                <w:r w:rsidR="00190C45" w:rsidRPr="004A1B29">
                  <w:rPr>
                    <w:rFonts w:eastAsia="Times New Roman" w:cs="Times New Roman"/>
                    <w:sz w:val="20"/>
                    <w:szCs w:val="20"/>
                    <w:lang w:eastAsia="es-ES"/>
                  </w:rPr>
                  <w:t>n</w:t>
                </w:r>
              </w:p>
            </w:tc>
            <w:tc>
              <w:tcPr>
                <w:tcW w:w="2420" w:type="dxa"/>
                <w:vMerge w:val="restart"/>
                <w:noWrap/>
                <w:hideMark/>
              </w:tcPr>
              <w:p w:rsidR="00190C45" w:rsidRPr="004A1B29" w:rsidRDefault="00190C45" w:rsidP="00190C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Aragón</w:t>
                </w:r>
              </w:p>
            </w:tc>
            <w:tc>
              <w:tcPr>
                <w:tcW w:w="2800" w:type="dxa"/>
                <w:vMerge w:val="restart"/>
                <w:noWrap/>
                <w:hideMark/>
              </w:tcPr>
              <w:p w:rsidR="00190C45" w:rsidRPr="004A1B29" w:rsidRDefault="00190C45" w:rsidP="00190C4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GAL</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190C45" w:rsidRPr="004A1B29" w:rsidTr="004A1B29">
            <w:trPr>
              <w:cnfStyle w:val="000000010000" w:firstRow="0" w:lastRow="0" w:firstColumn="0" w:lastColumn="0" w:oddVBand="0" w:evenVBand="0" w:oddHBand="0" w:evenHBand="1" w:firstRowFirstColumn="0" w:firstRowLastColumn="0" w:lastRowFirstColumn="0" w:lastRowLastColumn="0"/>
              <w:trHeight w:val="252"/>
              <w:jc w:val="right"/>
            </w:trPr>
            <w:tc>
              <w:tcPr>
                <w:cnfStyle w:val="001000000000" w:firstRow="0" w:lastRow="0" w:firstColumn="1" w:lastColumn="0" w:oddVBand="0" w:evenVBand="0" w:oddHBand="0" w:evenHBand="0" w:firstRowFirstColumn="0" w:firstRowLastColumn="0" w:lastRowFirstColumn="0" w:lastRowLastColumn="0"/>
                <w:tcW w:w="2500" w:type="dxa"/>
                <w:vMerge/>
                <w:hideMark/>
              </w:tcPr>
              <w:p w:rsidR="00190C45" w:rsidRPr="004A1B29" w:rsidRDefault="00190C45" w:rsidP="00190C45">
                <w:pPr>
                  <w:rPr>
                    <w:rFonts w:eastAsia="Times New Roman" w:cs="Times New Roman"/>
                    <w:sz w:val="20"/>
                    <w:szCs w:val="20"/>
                    <w:lang w:eastAsia="es-ES"/>
                  </w:rPr>
                </w:pPr>
              </w:p>
            </w:tc>
            <w:tc>
              <w:tcPr>
                <w:tcW w:w="242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80,06%</w:t>
                </w:r>
              </w:p>
            </w:tc>
            <w:tc>
              <w:tcPr>
                <w:tcW w:w="2800" w:type="dxa"/>
                <w:noWrap/>
                <w:hideMark/>
              </w:tcPr>
              <w:p w:rsidR="00190C45" w:rsidRPr="004A1B29" w:rsidRDefault="00190C45" w:rsidP="00190C4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A1B29">
                  <w:rPr>
                    <w:rFonts w:eastAsia="Times New Roman" w:cs="Times New Roman"/>
                    <w:b/>
                    <w:bCs/>
                    <w:sz w:val="20"/>
                    <w:szCs w:val="20"/>
                    <w:lang w:eastAsia="es-ES"/>
                  </w:rPr>
                  <w:t>78,26%</w:t>
                </w:r>
              </w:p>
            </w:tc>
          </w:tr>
          <w:tr w:rsidR="00190C45" w:rsidRPr="004A1B29" w:rsidTr="004A1B29">
            <w:trPr>
              <w:cnfStyle w:val="000000100000" w:firstRow="0" w:lastRow="0" w:firstColumn="0" w:lastColumn="0" w:oddVBand="0" w:evenVBand="0" w:oddHBand="1" w:evenHBand="0" w:firstRowFirstColumn="0" w:firstRowLastColumn="0" w:lastRowFirstColumn="0" w:lastRowLastColumn="0"/>
              <w:trHeight w:val="756"/>
              <w:jc w:val="right"/>
            </w:trPr>
            <w:tc>
              <w:tcPr>
                <w:cnfStyle w:val="001000000000" w:firstRow="0" w:lastRow="0" w:firstColumn="1" w:lastColumn="0" w:oddVBand="0" w:evenVBand="0" w:oddHBand="0" w:evenHBand="0" w:firstRowFirstColumn="0" w:firstRowLastColumn="0" w:lastRowFirstColumn="0" w:lastRowLastColumn="0"/>
                <w:tcW w:w="2500" w:type="dxa"/>
                <w:hideMark/>
              </w:tcPr>
              <w:p w:rsidR="00190C45" w:rsidRPr="004A1B29" w:rsidRDefault="00190C45" w:rsidP="00190C45">
                <w:pPr>
                  <w:rPr>
                    <w:rFonts w:eastAsia="Times New Roman" w:cs="Times New Roman"/>
                    <w:sz w:val="20"/>
                    <w:szCs w:val="20"/>
                    <w:lang w:eastAsia="es-ES"/>
                  </w:rPr>
                </w:pPr>
                <w:r w:rsidRPr="004A1B29">
                  <w:rPr>
                    <w:rFonts w:eastAsia="Times New Roman" w:cs="Times New Roman"/>
                    <w:sz w:val="20"/>
                    <w:szCs w:val="20"/>
                    <w:lang w:eastAsia="es-ES"/>
                  </w:rPr>
                  <w:t>(número de personas de 10 a 14 años entre personas de 60 a 64 años)</w:t>
                </w:r>
              </w:p>
            </w:tc>
            <w:tc>
              <w:tcPr>
                <w:tcW w:w="242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190C45" w:rsidRPr="004A1B29" w:rsidRDefault="00190C45" w:rsidP="00190C45">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Pr="00974B32" w:rsidRDefault="00190C45" w:rsidP="00140D4F">
          <w:pPr>
            <w:ind w:left="284"/>
            <w:jc w:val="right"/>
            <w:rPr>
              <w:b/>
              <w:sz w:val="24"/>
              <w:szCs w:val="24"/>
            </w:rPr>
          </w:pPr>
          <w:r>
            <w:rPr>
              <w:noProof/>
              <w:lang w:eastAsia="es-ES"/>
            </w:rPr>
            <w:drawing>
              <wp:inline distT="0" distB="0" distL="0" distR="0" wp14:anchorId="5493C89F" wp14:editId="448469D5">
                <wp:extent cx="5400040" cy="2668859"/>
                <wp:effectExtent l="0" t="0" r="10160" b="177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190C45" w:rsidP="004A1B29">
          <w:pPr>
            <w:pStyle w:val="Prrafodelista"/>
            <w:ind w:hanging="294"/>
            <w:jc w:val="both"/>
            <w:rPr>
              <w:b/>
              <w:sz w:val="24"/>
              <w:szCs w:val="24"/>
            </w:rPr>
          </w:pPr>
          <w:r>
            <w:rPr>
              <w:noProof/>
              <w:lang w:eastAsia="es-ES"/>
            </w:rPr>
            <w:drawing>
              <wp:inline distT="0" distB="0" distL="0" distR="0" wp14:anchorId="3ECC8476" wp14:editId="47026627">
                <wp:extent cx="5400040" cy="2551546"/>
                <wp:effectExtent l="0" t="0" r="10160" b="2032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190C45" w:rsidRPr="00190C45" w:rsidTr="00190C4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w:t>
                </w:r>
              </w:p>
            </w:tc>
            <w:tc>
              <w:tcPr>
                <w:tcW w:w="2960" w:type="dxa"/>
                <w:gridSpan w:val="2"/>
                <w:noWrap/>
                <w:hideMark/>
              </w:tcPr>
              <w:p w:rsidR="00190C45" w:rsidRPr="00190C45" w:rsidRDefault="00190C45" w:rsidP="00190C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2012</w:t>
                </w:r>
              </w:p>
            </w:tc>
            <w:tc>
              <w:tcPr>
                <w:tcW w:w="2640" w:type="dxa"/>
                <w:gridSpan w:val="2"/>
                <w:noWrap/>
                <w:hideMark/>
              </w:tcPr>
              <w:p w:rsidR="00190C45" w:rsidRPr="00190C45" w:rsidRDefault="00190C45" w:rsidP="00190C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2011</w:t>
                </w: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Nacidos vivos por cada mil habitantes.</w:t>
                </w:r>
              </w:p>
            </w:tc>
            <w:tc>
              <w:tcPr>
                <w:tcW w:w="151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44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c>
              <w:tcPr>
                <w:tcW w:w="135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28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r>
          <w:tr w:rsidR="00190C45" w:rsidRPr="00190C45" w:rsidTr="00190C45">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Tasa Bruta de Natalidad (‰).</w:t>
                </w:r>
              </w:p>
            </w:tc>
            <w:tc>
              <w:tcPr>
                <w:tcW w:w="151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8,878</w:t>
                </w:r>
              </w:p>
            </w:tc>
            <w:tc>
              <w:tcPr>
                <w:tcW w:w="144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7,401</w:t>
                </w:r>
              </w:p>
            </w:tc>
            <w:tc>
              <w:tcPr>
                <w:tcW w:w="135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9,366</w:t>
                </w:r>
              </w:p>
            </w:tc>
            <w:tc>
              <w:tcPr>
                <w:tcW w:w="128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6,052</w:t>
                </w: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Calibri" w:eastAsia="Times New Roman" w:hAnsi="Calibri" w:cs="Times New Roman"/>
                    <w:color w:val="000000"/>
                    <w:lang w:eastAsia="es-ES"/>
                  </w:rPr>
                </w:pPr>
              </w:p>
            </w:tc>
            <w:tc>
              <w:tcPr>
                <w:tcW w:w="151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190C45" w:rsidRPr="00190C45" w:rsidTr="00190C45">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Defunciones por cada mil habitantes.</w:t>
                </w:r>
              </w:p>
            </w:tc>
            <w:tc>
              <w:tcPr>
                <w:tcW w:w="151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44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c>
              <w:tcPr>
                <w:tcW w:w="135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28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Tasa Bruta de Mortalidad (‰).</w:t>
                </w:r>
              </w:p>
            </w:tc>
            <w:tc>
              <w:tcPr>
                <w:tcW w:w="151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10,170</w:t>
                </w:r>
              </w:p>
            </w:tc>
            <w:tc>
              <w:tcPr>
                <w:tcW w:w="144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13,102</w:t>
                </w:r>
              </w:p>
            </w:tc>
            <w:tc>
              <w:tcPr>
                <w:tcW w:w="135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10,067</w:t>
                </w:r>
              </w:p>
            </w:tc>
            <w:tc>
              <w:tcPr>
                <w:tcW w:w="128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12,914</w:t>
                </w:r>
              </w:p>
            </w:tc>
          </w:tr>
          <w:tr w:rsidR="00190C45" w:rsidRPr="00190C45" w:rsidTr="00190C45">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Calibri" w:eastAsia="Times New Roman" w:hAnsi="Calibri" w:cs="Times New Roman"/>
                    <w:color w:val="000000"/>
                    <w:lang w:eastAsia="es-ES"/>
                  </w:rPr>
                </w:pPr>
              </w:p>
            </w:tc>
            <w:tc>
              <w:tcPr>
                <w:tcW w:w="151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Saldo vegetativo (nacimientos menos defunciones) por cada mil habitantes.</w:t>
                </w:r>
              </w:p>
            </w:tc>
            <w:tc>
              <w:tcPr>
                <w:tcW w:w="151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44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c>
              <w:tcPr>
                <w:tcW w:w="135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28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r>
          <w:tr w:rsidR="00190C45" w:rsidRPr="00190C45" w:rsidTr="00190C45">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Tasa Bruta de Crecimiento Vegetativo (‰)</w:t>
                </w:r>
              </w:p>
            </w:tc>
            <w:tc>
              <w:tcPr>
                <w:tcW w:w="151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-1,292</w:t>
                </w:r>
              </w:p>
            </w:tc>
            <w:tc>
              <w:tcPr>
                <w:tcW w:w="144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-5,701</w:t>
                </w:r>
              </w:p>
            </w:tc>
            <w:tc>
              <w:tcPr>
                <w:tcW w:w="135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-0,700</w:t>
                </w:r>
              </w:p>
            </w:tc>
            <w:tc>
              <w:tcPr>
                <w:tcW w:w="128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-6,862</w:t>
                </w: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Calibri" w:eastAsia="Times New Roman" w:hAnsi="Calibri" w:cs="Times New Roman"/>
                    <w:color w:val="000000"/>
                    <w:lang w:eastAsia="es-ES"/>
                  </w:rPr>
                </w:pPr>
              </w:p>
            </w:tc>
            <w:tc>
              <w:tcPr>
                <w:tcW w:w="1517" w:type="dxa"/>
                <w:noWrap/>
                <w:hideMark/>
              </w:tcPr>
              <w:p w:rsidR="00190C45" w:rsidRPr="00190C45" w:rsidRDefault="00190C45" w:rsidP="00190C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190C45" w:rsidRPr="00190C45" w:rsidRDefault="00190C45" w:rsidP="00190C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190C45" w:rsidRPr="00190C45" w:rsidRDefault="00190C45" w:rsidP="00190C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190C45" w:rsidRPr="00190C45" w:rsidRDefault="00190C45" w:rsidP="00190C4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190C45" w:rsidRPr="00190C45" w:rsidTr="00190C45">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Matrimonios por cada mil habitantes.</w:t>
                </w:r>
              </w:p>
            </w:tc>
            <w:tc>
              <w:tcPr>
                <w:tcW w:w="151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44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c>
              <w:tcPr>
                <w:tcW w:w="1353"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 xml:space="preserve">Aragón </w:t>
                </w:r>
              </w:p>
            </w:tc>
            <w:tc>
              <w:tcPr>
                <w:tcW w:w="1287" w:type="dxa"/>
                <w:noWrap/>
                <w:hideMark/>
              </w:tcPr>
              <w:p w:rsidR="00190C45" w:rsidRPr="00190C45" w:rsidRDefault="00190C45" w:rsidP="00190C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GAL</w:t>
                </w:r>
              </w:p>
            </w:tc>
          </w:tr>
          <w:tr w:rsidR="00190C45" w:rsidRPr="00190C45" w:rsidTr="00190C4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190C45" w:rsidRPr="00190C45" w:rsidRDefault="00190C45" w:rsidP="00190C45">
                <w:pPr>
                  <w:rPr>
                    <w:rFonts w:ascii="Arial" w:eastAsia="Times New Roman" w:hAnsi="Arial" w:cs="Arial"/>
                    <w:sz w:val="16"/>
                    <w:szCs w:val="16"/>
                    <w:lang w:eastAsia="es-ES"/>
                  </w:rPr>
                </w:pPr>
                <w:r w:rsidRPr="00190C45">
                  <w:rPr>
                    <w:rFonts w:ascii="Arial" w:eastAsia="Times New Roman" w:hAnsi="Arial" w:cs="Arial"/>
                    <w:sz w:val="16"/>
                    <w:szCs w:val="16"/>
                    <w:lang w:eastAsia="es-ES"/>
                  </w:rPr>
                  <w:t>Tasa Bruta de Nupcialidad (‰).</w:t>
                </w:r>
              </w:p>
            </w:tc>
            <w:tc>
              <w:tcPr>
                <w:tcW w:w="151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3,492</w:t>
                </w:r>
              </w:p>
            </w:tc>
            <w:tc>
              <w:tcPr>
                <w:tcW w:w="144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2,741</w:t>
                </w:r>
              </w:p>
            </w:tc>
            <w:tc>
              <w:tcPr>
                <w:tcW w:w="1353"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3,205</w:t>
                </w:r>
              </w:p>
            </w:tc>
            <w:tc>
              <w:tcPr>
                <w:tcW w:w="1287" w:type="dxa"/>
                <w:noWrap/>
                <w:hideMark/>
              </w:tcPr>
              <w:p w:rsidR="00190C45" w:rsidRPr="00190C45" w:rsidRDefault="00190C45" w:rsidP="00190C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190C45">
                  <w:rPr>
                    <w:rFonts w:ascii="Calibri" w:eastAsia="Times New Roman" w:hAnsi="Calibri" w:cs="Times New Roman"/>
                    <w:color w:val="000000"/>
                    <w:lang w:eastAsia="es-ES"/>
                  </w:rPr>
                  <w:t>2,648</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190C45" w:rsidP="00190C45">
          <w:pPr>
            <w:pStyle w:val="Prrafodelista"/>
            <w:jc w:val="center"/>
            <w:rPr>
              <w:b/>
              <w:sz w:val="24"/>
              <w:szCs w:val="24"/>
            </w:rPr>
          </w:pPr>
          <w:r>
            <w:rPr>
              <w:noProof/>
              <w:lang w:eastAsia="es-ES"/>
            </w:rPr>
            <w:drawing>
              <wp:inline distT="0" distB="0" distL="0" distR="0" wp14:anchorId="4215C45A" wp14:editId="581A96E5">
                <wp:extent cx="4526280" cy="1988820"/>
                <wp:effectExtent l="0" t="0" r="26670" b="1143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Default="00AF7330" w:rsidP="00DA6CCE">
          <w:pPr>
            <w:pStyle w:val="Prrafodelista"/>
            <w:jc w:val="both"/>
            <w:rPr>
              <w:b/>
              <w:sz w:val="24"/>
              <w:szCs w:val="24"/>
            </w:rPr>
          </w:pPr>
        </w:p>
        <w:p w:rsidR="00140D4F" w:rsidRPr="00EE4D4D" w:rsidRDefault="00140D4F"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190C45" w:rsidP="00106908">
          <w:pPr>
            <w:pStyle w:val="Prrafodelista"/>
            <w:ind w:left="142" w:right="-568"/>
            <w:jc w:val="both"/>
            <w:rPr>
              <w:b/>
              <w:sz w:val="24"/>
              <w:szCs w:val="24"/>
            </w:rPr>
          </w:pPr>
          <w:r>
            <w:rPr>
              <w:b/>
              <w:noProof/>
              <w:sz w:val="24"/>
              <w:szCs w:val="24"/>
              <w:lang w:eastAsia="es-ES"/>
            </w:rPr>
            <w:drawing>
              <wp:inline distT="0" distB="0" distL="0" distR="0" wp14:anchorId="0F1BC61B" wp14:editId="378BB767">
                <wp:extent cx="2475439" cy="139192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5439" cy="1391920"/>
                        </a:xfrm>
                        <a:prstGeom prst="rect">
                          <a:avLst/>
                        </a:prstGeom>
                        <a:noFill/>
                      </pic:spPr>
                    </pic:pic>
                  </a:graphicData>
                </a:graphic>
              </wp:inline>
            </w:drawing>
          </w:r>
          <w:r w:rsidR="00EC083C">
            <w:rPr>
              <w:b/>
              <w:noProof/>
              <w:sz w:val="24"/>
              <w:szCs w:val="24"/>
              <w:lang w:eastAsia="es-ES"/>
            </w:rPr>
            <w:drawing>
              <wp:inline distT="0" distB="0" distL="0" distR="0" wp14:anchorId="037FAC8E">
                <wp:extent cx="2468880" cy="1409341"/>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5597" cy="1407467"/>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07B1F167" wp14:editId="5086B92F">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264FE6" w:rsidP="00DA6CCE">
          <w:pPr>
            <w:pStyle w:val="Prrafodelista"/>
            <w:tabs>
              <w:tab w:val="left" w:pos="3456"/>
            </w:tabs>
            <w:ind w:left="284"/>
            <w:jc w:val="both"/>
            <w:rPr>
              <w:b/>
            </w:rPr>
          </w:pPr>
          <w:r>
            <w:rPr>
              <w:noProof/>
              <w:lang w:eastAsia="es-ES"/>
            </w:rPr>
            <w:drawing>
              <wp:inline distT="0" distB="0" distL="0" distR="0" wp14:anchorId="5B7B25D3" wp14:editId="1E67031F">
                <wp:extent cx="5405120" cy="3312160"/>
                <wp:effectExtent l="0" t="0" r="24130" b="2159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264FE6" w:rsidP="002748A7">
          <w:pPr>
            <w:pStyle w:val="Prrafodelista"/>
            <w:tabs>
              <w:tab w:val="left" w:pos="3456"/>
            </w:tabs>
            <w:ind w:left="284"/>
            <w:jc w:val="both"/>
            <w:rPr>
              <w:b/>
            </w:rPr>
          </w:pPr>
          <w:r>
            <w:rPr>
              <w:noProof/>
              <w:lang w:eastAsia="es-ES"/>
            </w:rPr>
            <w:drawing>
              <wp:inline distT="0" distB="0" distL="0" distR="0" wp14:anchorId="70EF6C37" wp14:editId="2C175D69">
                <wp:extent cx="5405120" cy="3342640"/>
                <wp:effectExtent l="0" t="0" r="24130" b="101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140D4F" w:rsidRDefault="00140D4F"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641D40" w:rsidP="00DA6CCE">
          <w:pPr>
            <w:pStyle w:val="Prrafodelista"/>
            <w:tabs>
              <w:tab w:val="left" w:pos="3456"/>
            </w:tabs>
            <w:ind w:left="0"/>
            <w:jc w:val="both"/>
            <w:rPr>
              <w:b/>
            </w:rPr>
          </w:pPr>
          <w:r>
            <w:rPr>
              <w:noProof/>
              <w:lang w:eastAsia="es-ES"/>
            </w:rPr>
            <w:drawing>
              <wp:inline distT="0" distB="0" distL="0" distR="0" wp14:anchorId="1767607C" wp14:editId="73ED38A1">
                <wp:extent cx="5933440" cy="2966720"/>
                <wp:effectExtent l="0" t="0" r="10160" b="2413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641D40" w:rsidP="00DA6CCE">
          <w:pPr>
            <w:pStyle w:val="Prrafodelista"/>
            <w:tabs>
              <w:tab w:val="left" w:pos="3456"/>
            </w:tabs>
            <w:ind w:left="0"/>
            <w:jc w:val="both"/>
            <w:rPr>
              <w:b/>
            </w:rPr>
          </w:pPr>
          <w:r>
            <w:rPr>
              <w:noProof/>
              <w:lang w:eastAsia="es-ES"/>
            </w:rPr>
            <w:drawing>
              <wp:inline distT="0" distB="0" distL="0" distR="0" wp14:anchorId="6EA2728B" wp14:editId="69113AA6">
                <wp:extent cx="6014720" cy="3088640"/>
                <wp:effectExtent l="0" t="0" r="24130" b="165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D5655F" w:rsidP="00DA6CCE">
          <w:pPr>
            <w:pStyle w:val="Prrafodelista"/>
            <w:tabs>
              <w:tab w:val="left" w:pos="3456"/>
            </w:tabs>
            <w:ind w:left="0"/>
            <w:jc w:val="both"/>
            <w:rPr>
              <w:b/>
            </w:rPr>
          </w:pPr>
          <w:r>
            <w:rPr>
              <w:noProof/>
              <w:lang w:eastAsia="es-ES"/>
            </w:rPr>
            <w:drawing>
              <wp:inline distT="0" distB="0" distL="0" distR="0" wp14:anchorId="5503F1C2" wp14:editId="135E7832">
                <wp:extent cx="5638800" cy="3769360"/>
                <wp:effectExtent l="0" t="0" r="19050" b="2159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D5655F" w:rsidRPr="00001DA8" w:rsidRDefault="00D5655F" w:rsidP="00D5655F">
          <w:pPr>
            <w:pStyle w:val="Prrafodelista"/>
            <w:jc w:val="both"/>
            <w:rPr>
              <w:b/>
            </w:rPr>
          </w:pPr>
        </w:p>
        <w:p w:rsidR="005F2FC9" w:rsidRDefault="00D5655F" w:rsidP="002E3108">
          <w:pPr>
            <w:pStyle w:val="Prrafodelista"/>
            <w:tabs>
              <w:tab w:val="left" w:pos="3456"/>
            </w:tabs>
            <w:ind w:left="0"/>
            <w:jc w:val="both"/>
            <w:rPr>
              <w:b/>
            </w:rPr>
          </w:pPr>
          <w:r>
            <w:rPr>
              <w:noProof/>
              <w:lang w:eastAsia="es-ES"/>
            </w:rPr>
            <w:drawing>
              <wp:inline distT="0" distB="0" distL="0" distR="0" wp14:anchorId="6EE50FBC" wp14:editId="6499930F">
                <wp:extent cx="5638800" cy="3362960"/>
                <wp:effectExtent l="0" t="0" r="19050" b="279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46BD5" w:rsidRPr="00FB730B" w:rsidRDefault="00746BD5" w:rsidP="00FB730B">
          <w:pPr>
            <w:tabs>
              <w:tab w:val="left" w:pos="3456"/>
            </w:tabs>
            <w:jc w:val="both"/>
            <w:rPr>
              <w:b/>
            </w:rPr>
          </w:pPr>
        </w:p>
        <w:tbl>
          <w:tblPr>
            <w:tblStyle w:val="Sombreadoclaro-nfasis4"/>
            <w:tblpPr w:leftFromText="141" w:rightFromText="141" w:vertAnchor="text" w:horzAnchor="margin" w:tblpXSpec="center" w:tblpY="741"/>
            <w:tblW w:w="8271" w:type="dxa"/>
            <w:tblLook w:val="04A0" w:firstRow="1" w:lastRow="0" w:firstColumn="1" w:lastColumn="0" w:noHBand="0" w:noVBand="1"/>
          </w:tblPr>
          <w:tblGrid>
            <w:gridCol w:w="1305"/>
            <w:gridCol w:w="1877"/>
            <w:gridCol w:w="2053"/>
            <w:gridCol w:w="2127"/>
            <w:gridCol w:w="909"/>
          </w:tblGrid>
          <w:tr w:rsidR="0039509A" w:rsidRPr="002655BE" w:rsidTr="00FB730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05" w:type="dxa"/>
                <w:vMerge w:val="restart"/>
                <w:noWrap/>
                <w:hideMark/>
              </w:tcPr>
              <w:p w:rsidR="0039509A" w:rsidRPr="002655BE" w:rsidRDefault="0039509A" w:rsidP="00F56C7D">
                <w:pPr>
                  <w:rPr>
                    <w:rFonts w:ascii="Calibri" w:eastAsia="Times New Roman" w:hAnsi="Calibri" w:cs="Times New Roman"/>
                    <w:color w:val="000000"/>
                    <w:lang w:eastAsia="es-ES"/>
                  </w:rPr>
                </w:pPr>
                <w:r w:rsidRPr="002655BE">
                  <w:rPr>
                    <w:rFonts w:ascii="Calibri" w:eastAsia="Times New Roman" w:hAnsi="Calibri" w:cs="Times New Roman"/>
                    <w:color w:val="000000"/>
                    <w:lang w:eastAsia="es-ES"/>
                  </w:rPr>
                  <w:lastRenderedPageBreak/>
                  <w:t>ADIBAMA</w:t>
                </w:r>
              </w:p>
            </w:tc>
            <w:tc>
              <w:tcPr>
                <w:tcW w:w="1877" w:type="dxa"/>
                <w:noWrap/>
                <w:hideMark/>
              </w:tcPr>
              <w:p w:rsidR="0039509A" w:rsidRPr="002655BE" w:rsidRDefault="0039509A" w:rsidP="00FB73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55BE">
                  <w:rPr>
                    <w:rFonts w:ascii="Calibri" w:eastAsia="Times New Roman" w:hAnsi="Calibri" w:cs="Times New Roman"/>
                    <w:color w:val="000000"/>
                    <w:lang w:eastAsia="es-ES"/>
                  </w:rPr>
                  <w:t>Total percepciones salarios</w:t>
                </w:r>
              </w:p>
            </w:tc>
            <w:tc>
              <w:tcPr>
                <w:tcW w:w="2053" w:type="dxa"/>
                <w:noWrap/>
                <w:hideMark/>
              </w:tcPr>
              <w:p w:rsidR="0039509A" w:rsidRPr="002655BE" w:rsidRDefault="0039509A" w:rsidP="00FB73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55BE">
                  <w:rPr>
                    <w:rFonts w:ascii="Calibri" w:eastAsia="Times New Roman" w:hAnsi="Calibri" w:cs="Times New Roman"/>
                    <w:color w:val="000000"/>
                    <w:lang w:eastAsia="es-ES"/>
                  </w:rPr>
                  <w:t>Total Percepciones pensiones</w:t>
                </w:r>
              </w:p>
            </w:tc>
            <w:tc>
              <w:tcPr>
                <w:tcW w:w="2127" w:type="dxa"/>
                <w:noWrap/>
                <w:hideMark/>
              </w:tcPr>
              <w:p w:rsidR="0039509A" w:rsidRPr="002655BE" w:rsidRDefault="0039509A" w:rsidP="00FB73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655BE">
                  <w:rPr>
                    <w:rFonts w:ascii="Calibri" w:eastAsia="Times New Roman" w:hAnsi="Calibri" w:cs="Times New Roman"/>
                    <w:color w:val="000000"/>
                    <w:lang w:eastAsia="es-ES"/>
                  </w:rPr>
                  <w:t>Total Percepciones desempleo</w:t>
                </w:r>
              </w:p>
            </w:tc>
            <w:tc>
              <w:tcPr>
                <w:tcW w:w="909" w:type="dxa"/>
                <w:noWrap/>
                <w:hideMark/>
              </w:tcPr>
              <w:p w:rsidR="0039509A" w:rsidRPr="00FB730B" w:rsidRDefault="0039509A" w:rsidP="00FB730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B730B">
                  <w:rPr>
                    <w:rFonts w:ascii="Calibri" w:eastAsia="Times New Roman" w:hAnsi="Calibri" w:cs="Times New Roman"/>
                    <w:bCs w:val="0"/>
                    <w:color w:val="000000"/>
                    <w:lang w:eastAsia="es-ES"/>
                  </w:rPr>
                  <w:t>Padró</w:t>
                </w:r>
                <w:r w:rsidRPr="00FB730B">
                  <w:rPr>
                    <w:rFonts w:ascii="Calibri" w:eastAsia="Times New Roman" w:hAnsi="Calibri" w:cs="Times New Roman"/>
                    <w:color w:val="000000"/>
                    <w:lang w:eastAsia="es-ES"/>
                  </w:rPr>
                  <w:t>n total</w:t>
                </w:r>
              </w:p>
            </w:tc>
          </w:tr>
          <w:tr w:rsidR="0039509A" w:rsidRPr="002655BE" w:rsidTr="00FB730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305" w:type="dxa"/>
                <w:vMerge/>
                <w:noWrap/>
                <w:hideMark/>
              </w:tcPr>
              <w:p w:rsidR="0039509A" w:rsidRPr="002655BE" w:rsidRDefault="0039509A" w:rsidP="002655BE">
                <w:pPr>
                  <w:rPr>
                    <w:rFonts w:ascii="Calibri" w:eastAsia="Times New Roman" w:hAnsi="Calibri" w:cs="Times New Roman"/>
                    <w:color w:val="000000"/>
                    <w:lang w:eastAsia="es-ES"/>
                  </w:rPr>
                </w:pPr>
              </w:p>
            </w:tc>
            <w:tc>
              <w:tcPr>
                <w:tcW w:w="1877" w:type="dxa"/>
                <w:noWrap/>
                <w:hideMark/>
              </w:tcPr>
              <w:p w:rsidR="0039509A" w:rsidRPr="002655BE" w:rsidRDefault="0039509A" w:rsidP="00FB7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655BE">
                  <w:rPr>
                    <w:rFonts w:ascii="Calibri" w:eastAsia="Times New Roman" w:hAnsi="Calibri" w:cs="Times New Roman"/>
                    <w:b/>
                    <w:bCs/>
                    <w:color w:val="000000"/>
                    <w:lang w:eastAsia="es-ES"/>
                  </w:rPr>
                  <w:t>8251</w:t>
                </w:r>
              </w:p>
            </w:tc>
            <w:tc>
              <w:tcPr>
                <w:tcW w:w="2053" w:type="dxa"/>
                <w:noWrap/>
                <w:hideMark/>
              </w:tcPr>
              <w:p w:rsidR="0039509A" w:rsidRPr="002655BE" w:rsidRDefault="0039509A" w:rsidP="00FB7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655BE">
                  <w:rPr>
                    <w:rFonts w:ascii="Calibri" w:eastAsia="Times New Roman" w:hAnsi="Calibri" w:cs="Times New Roman"/>
                    <w:b/>
                    <w:bCs/>
                    <w:color w:val="000000"/>
                    <w:lang w:eastAsia="es-ES"/>
                  </w:rPr>
                  <w:t>5732</w:t>
                </w:r>
              </w:p>
            </w:tc>
            <w:tc>
              <w:tcPr>
                <w:tcW w:w="2127" w:type="dxa"/>
                <w:noWrap/>
                <w:hideMark/>
              </w:tcPr>
              <w:p w:rsidR="0039509A" w:rsidRPr="002655BE" w:rsidRDefault="0039509A" w:rsidP="00FB7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655BE">
                  <w:rPr>
                    <w:rFonts w:ascii="Calibri" w:eastAsia="Times New Roman" w:hAnsi="Calibri" w:cs="Times New Roman"/>
                    <w:b/>
                    <w:bCs/>
                    <w:color w:val="000000"/>
                    <w:lang w:eastAsia="es-ES"/>
                  </w:rPr>
                  <w:t>1987</w:t>
                </w:r>
              </w:p>
            </w:tc>
            <w:tc>
              <w:tcPr>
                <w:tcW w:w="909" w:type="dxa"/>
                <w:noWrap/>
                <w:hideMark/>
              </w:tcPr>
              <w:p w:rsidR="0039509A" w:rsidRPr="002655BE" w:rsidRDefault="0039509A" w:rsidP="00FB730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655BE">
                  <w:rPr>
                    <w:rFonts w:ascii="Calibri" w:eastAsia="Times New Roman" w:hAnsi="Calibri" w:cs="Times New Roman"/>
                    <w:b/>
                    <w:bCs/>
                    <w:color w:val="000000"/>
                    <w:lang w:eastAsia="es-ES"/>
                  </w:rPr>
                  <w:t>17881</w:t>
                </w:r>
              </w:p>
            </w:tc>
          </w:tr>
        </w:tbl>
        <w:p w:rsidR="00D16764" w:rsidRPr="00AF7330" w:rsidRDefault="00746BD5" w:rsidP="00DA6CCE">
          <w:pPr>
            <w:pStyle w:val="Prrafodelista"/>
            <w:numPr>
              <w:ilvl w:val="0"/>
              <w:numId w:val="1"/>
            </w:numPr>
            <w:tabs>
              <w:tab w:val="left" w:pos="3456"/>
            </w:tabs>
            <w:jc w:val="both"/>
            <w:rPr>
              <w:b/>
            </w:rPr>
          </w:pPr>
          <w:r w:rsidRPr="009257EF">
            <w:rPr>
              <w:b/>
            </w:rPr>
            <w:t>Promedio de las fuentes tributarias que exis</w:t>
          </w:r>
          <w:r w:rsidR="001A4186">
            <w:rPr>
              <w:b/>
            </w:rPr>
            <w:t xml:space="preserve">ten de cada tipo en el grupo ADIBAMA </w:t>
          </w:r>
          <w:r w:rsidR="00AF7330" w:rsidRPr="00AF7330">
            <w:rPr>
              <w:b/>
            </w:rPr>
            <w:t>(2010).</w:t>
          </w:r>
        </w:p>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FB730B" w:rsidRDefault="00FB730B"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el Grupo de Acción Local AD</w:t>
          </w:r>
          <w:r w:rsidR="00B808EA">
            <w:t>IBAMA</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173249">
            <w:t xml:space="preserve"> agrupación de las comarcas de Andorra-Sierra de Arcos y el Bajo Martín </w:t>
          </w:r>
          <w:r w:rsidR="00924E6A">
            <w:t xml:space="preserve"> y engloba un total de </w:t>
          </w:r>
          <w:r w:rsidR="00173249">
            <w:t>18</w:t>
          </w:r>
          <w:r w:rsidR="00924E6A">
            <w:t xml:space="preserve"> municipios.</w:t>
          </w:r>
        </w:p>
        <w:p w:rsidR="00D139A2" w:rsidRPr="003D4E91" w:rsidRDefault="00D139A2" w:rsidP="00DA6CCE">
          <w:pPr>
            <w:pStyle w:val="Prrafodelista"/>
            <w:tabs>
              <w:tab w:val="left" w:pos="3456"/>
            </w:tabs>
            <w:ind w:left="284"/>
            <w:jc w:val="both"/>
          </w:pPr>
        </w:p>
        <w:p w:rsidR="0039509A" w:rsidRPr="00BE7B7A" w:rsidRDefault="00646071" w:rsidP="00BE7B7A">
          <w:pPr>
            <w:pStyle w:val="Prrafodelista"/>
            <w:tabs>
              <w:tab w:val="left" w:pos="3456"/>
            </w:tabs>
            <w:ind w:left="284"/>
            <w:jc w:val="center"/>
            <w:rPr>
              <w:b/>
            </w:rPr>
          </w:pPr>
          <w:bookmarkStart w:id="0" w:name="_GoBack"/>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pt;height:491.2pt">
                <v:imagedata r:id="rId36" o:title="localización"/>
              </v:shape>
            </w:pict>
          </w:r>
          <w:bookmarkEnd w:id="0"/>
        </w:p>
        <w:p w:rsidR="008D4C33" w:rsidRDefault="00924E6A" w:rsidP="008D4C33">
          <w:pPr>
            <w:ind w:firstLine="708"/>
            <w:jc w:val="both"/>
          </w:pPr>
          <w:r>
            <w:lastRenderedPageBreak/>
            <w:t xml:space="preserve">El grupo de acción local </w:t>
          </w:r>
          <w:r w:rsidR="002E3108">
            <w:t>ADIBAMA se localiza en el Piedemonte Ibérico. Como podemos observar existe una gradación en cuanto a la altitud en el conjunto del grupo que va descendiendo desde las áreas más altas en el sur (Sierra de Arcos 900m) hasta las áreas más bajas al norte donde destacaría Castelnou municipio localizado a tan solo 200m de altitud.</w:t>
          </w:r>
        </w:p>
        <w:p w:rsidR="003D4E91" w:rsidRDefault="00646071" w:rsidP="00452FBF">
          <w:pPr>
            <w:jc w:val="center"/>
            <w:rPr>
              <w:b/>
            </w:rPr>
          </w:pPr>
          <w:r>
            <w:rPr>
              <w:b/>
            </w:rPr>
            <w:pict>
              <v:shape id="_x0000_i1026" type="#_x0000_t75" style="width:424.8pt;height:600.8pt">
                <v:imagedata r:id="rId37" o:title="medio fisico adibama"/>
              </v:shape>
            </w:pict>
          </w:r>
        </w:p>
        <w:p w:rsidR="00FC644D" w:rsidRDefault="00FC644D" w:rsidP="00DA6CCE">
          <w:pPr>
            <w:jc w:val="both"/>
            <w:rPr>
              <w:b/>
            </w:rPr>
          </w:pP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924E6A">
            <w:t>AD</w:t>
          </w:r>
          <w:r w:rsidR="00BE5550">
            <w:t>IBAMA</w:t>
          </w:r>
          <w:r w:rsidR="00924E6A">
            <w:t xml:space="preserve"> </w:t>
          </w:r>
          <w:r w:rsidR="00BE5550">
            <w:t>vemos como la mayoría de municipios presentan tasas de masculinidad superiores a las de feminidad a excepción de los casos de Alacón, Samper de Calanda y Urrea de Gaén.</w:t>
          </w:r>
        </w:p>
        <w:p w:rsidR="003D4E91" w:rsidRDefault="00646071" w:rsidP="00452FBF">
          <w:pPr>
            <w:jc w:val="center"/>
            <w:rPr>
              <w:b/>
            </w:rPr>
          </w:pPr>
          <w:r>
            <w:rPr>
              <w:b/>
            </w:rPr>
            <w:pict>
              <v:shape id="_x0000_i1027" type="#_x0000_t75" style="width:381.6pt;height:540pt">
                <v:imagedata r:id="rId38" o:title="tasamascfem_densidad"/>
              </v:shape>
            </w:pict>
          </w:r>
        </w:p>
        <w:p w:rsidR="00592215" w:rsidRDefault="00592215" w:rsidP="00DA6CCE">
          <w:pPr>
            <w:jc w:val="both"/>
            <w:rPr>
              <w:b/>
            </w:rPr>
          </w:pPr>
        </w:p>
        <w:p w:rsidR="00592215" w:rsidRPr="00592215" w:rsidRDefault="00592215" w:rsidP="00DA6CCE">
          <w:pPr>
            <w:jc w:val="both"/>
          </w:pPr>
          <w:r>
            <w:rPr>
              <w:b/>
            </w:rPr>
            <w:tab/>
          </w:r>
          <w:r>
            <w:t xml:space="preserve">En cuanto al </w:t>
          </w:r>
          <w:r w:rsidRPr="005C032F">
            <w:rPr>
              <w:b/>
            </w:rPr>
            <w:t>envejecimiento</w:t>
          </w:r>
          <w:r>
            <w:t xml:space="preserve">, encontrábamos valores muy altos para todos los casos por lo que lo que decidimos fue partir de la idea de que existía ese problema para </w:t>
          </w:r>
          <w:r>
            <w:lastRenderedPageBreak/>
            <w:t xml:space="preserve">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646071" w:rsidP="00452FBF">
          <w:pPr>
            <w:jc w:val="center"/>
            <w:rPr>
              <w:b/>
            </w:rPr>
          </w:pPr>
          <w:r>
            <w:rPr>
              <w:b/>
              <w:noProof/>
              <w:lang w:eastAsia="es-ES"/>
            </w:rPr>
            <w:pict>
              <v:shape id="_x0000_i1028" type="#_x0000_t75" style="width:424.8pt;height:521.6pt">
                <v:imagedata r:id="rId39" o:title="ENVEJECMEDIOARAGON_GAL"/>
              </v:shape>
            </w:pict>
          </w:r>
        </w:p>
        <w:p w:rsidR="005C032F" w:rsidRDefault="00592215" w:rsidP="00DA6CCE">
          <w:pPr>
            <w:jc w:val="both"/>
          </w:pPr>
          <w:r>
            <w:rPr>
              <w:b/>
            </w:rPr>
            <w:tab/>
          </w:r>
          <w:r>
            <w:t xml:space="preserve">Los municipios </w:t>
          </w:r>
          <w:r w:rsidRPr="00592215">
            <w:t xml:space="preserve">que </w:t>
          </w:r>
          <w:r>
            <w:t xml:space="preserve">se representan en gris son aquellos de los que no hemos podido disponer de datos. </w:t>
          </w:r>
          <w:r w:rsidR="00924E6A">
            <w:t>En verde encontramos aquellos municipios que presentan un valor de envejecimiento inferior al del total aragonés, e</w:t>
          </w:r>
          <w:r w:rsidR="00AB3ED5">
            <w:t>n amarillo</w:t>
          </w:r>
          <w:r>
            <w:t xml:space="preserve"> vemos los valores que se asemejan a la media de Aragón y, en el último caso, 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191788">
            <w:t xml:space="preserve">. Alacón (900%), Azaila </w:t>
          </w:r>
          <w:r w:rsidR="00191788">
            <w:lastRenderedPageBreak/>
            <w:t>(560%) y Jatiel (489,3%)</w:t>
          </w:r>
          <w:r w:rsidR="00B30CAE">
            <w:t xml:space="preserve"> son los municipios que se encuentran en una situación más alarmante en cuanto a envejecimiento que el resto.</w:t>
          </w:r>
          <w:r w:rsidR="00923EF1">
            <w:t xml:space="preserve"> </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646071" w:rsidP="00452FBF">
          <w:pPr>
            <w:jc w:val="center"/>
          </w:pPr>
          <w:r>
            <w:pict>
              <v:shape id="_x0000_i1029" type="#_x0000_t75" style="width:404.8pt;height:572pt">
                <v:imagedata r:id="rId40" o:title="tasaenvej_tasaparo"/>
              </v:shape>
            </w:pict>
          </w:r>
        </w:p>
        <w:p w:rsidR="00592215" w:rsidRDefault="005C032F" w:rsidP="00DA6CCE">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923EF1" w:rsidRPr="00923EF1">
            <w:t xml:space="preserve"> </w:t>
          </w:r>
          <w:r w:rsidR="00923EF1">
            <w:t>Destacan en este caso las localidades de Híjar y Andorra con los mayores índices de paro sobre el total del grupo.</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646071" w:rsidP="00452FBF">
          <w:pPr>
            <w:jc w:val="center"/>
          </w:pPr>
          <w:r>
            <w:pict>
              <v:shape id="_x0000_i1030" type="#_x0000_t75" style="width:424.8pt;height:529.6pt">
                <v:imagedata r:id="rId41" o:title="tasaenvej_tasamascu"/>
              </v:shape>
            </w:pict>
          </w:r>
        </w:p>
        <w:p w:rsidR="005C032F" w:rsidRDefault="005C032F" w:rsidP="00DA6CCE">
          <w:pPr>
            <w:jc w:val="both"/>
          </w:pPr>
          <w:r>
            <w:lastRenderedPageBreak/>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646071" w:rsidP="00B55AEC">
          <w:pPr>
            <w:ind w:firstLine="426"/>
            <w:jc w:val="both"/>
          </w:pPr>
          <w:r>
            <w:rPr>
              <w:noProof/>
              <w:lang w:eastAsia="es-ES"/>
            </w:rPr>
            <w:pict>
              <v:shape id="_x0000_i1031" type="#_x0000_t75" style="width:383.2pt;height:460.8pt">
                <v:imagedata r:id="rId42" o:title="%ACTIVIDADESECONOM_DENSIDAD"/>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AD</w:t>
          </w:r>
          <w:r w:rsidR="00B55AEC">
            <w:t>IBAMA</w:t>
          </w:r>
          <w:r>
            <w:t xml:space="preserve"> en función de su densidad. Según lo que podemos apreciar aquellos municipios donde la densidad es media o alta presenta un porcentaje de ocupación sobre el total de actividades </w:t>
          </w:r>
          <w:r>
            <w:lastRenderedPageBreak/>
            <w:t xml:space="preserve">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646071" w:rsidP="00DA6CCE">
          <w:pPr>
            <w:ind w:firstLine="284"/>
            <w:jc w:val="center"/>
          </w:pPr>
          <w:r>
            <w:pict>
              <v:shape id="_x0000_i1032" type="#_x0000_t75" style="width:424.8pt;height:529.6pt">
                <v:imagedata r:id="rId43" o:title="densidad_tasa paro"/>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 xml:space="preserve">Como vemos en el mapa anterior la densidad sí que se trata de una variable que influye en la cantidad de paro en un determinado lugar. Lo cual hace lógicamente que, como podemos observar, sean aquellos municipios donde </w:t>
          </w:r>
          <w:r w:rsidR="00F6732C">
            <w:lastRenderedPageBreak/>
            <w:t>la densidad sea más baja los lugares donde la tasa de paro sea menor que en el resto.</w:t>
          </w:r>
          <w:r w:rsidR="00EB7E4E">
            <w:t xml:space="preserve"> </w:t>
          </w:r>
          <w:r w:rsidR="00B55AEC">
            <w:t>Andorra (55,27%) e Híjar (10,55%) 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AD</w:t>
          </w:r>
          <w:r w:rsidR="00B55AEC">
            <w:t>IBAMA</w:t>
          </w:r>
          <w:r w:rsidR="00EB7E4E">
            <w:t xml:space="preserve">. </w:t>
          </w:r>
        </w:p>
        <w:p w:rsidR="005047FE" w:rsidRDefault="00DA6CCE" w:rsidP="00DA6CCE">
          <w:pPr>
            <w:ind w:firstLine="284"/>
            <w:jc w:val="both"/>
          </w:pPr>
          <w:r>
            <w:t>Pero, más allá de lo que sería conocer la tasa de paro total sobre la densidad de población en el grupo AD</w:t>
          </w:r>
          <w:r w:rsidR="0069616A">
            <w:t>IBAMA</w:t>
          </w:r>
          <w:r>
            <w:t xml:space="preserve">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646071" w:rsidP="00452FBF">
      <w:pPr>
        <w:jc w:val="center"/>
      </w:pPr>
      <w:r>
        <w:pict>
          <v:shape id="_x0000_i1033" type="#_x0000_t75" style="width:344pt;height:464.8pt">
            <v:imagedata r:id="rId44" o:title="TASAPARO_DENSIDAD"/>
          </v:shape>
        </w:pict>
      </w:r>
    </w:p>
    <w:p w:rsidR="00452FBF" w:rsidRDefault="00452FBF" w:rsidP="00452FBF">
      <w:pPr>
        <w:jc w:val="both"/>
      </w:pPr>
      <w:r>
        <w:tab/>
        <w:t xml:space="preserve">En este caso vemos como al establecer la diferenciación en el paro de hombres y mujeres encontramos datos más significativos pues el total de paro solo nos da datos absolutos mientras que en este caso lo que observamos es que, prácticamente el total de municipios muestra un total de paro elevado </w:t>
      </w:r>
      <w:r w:rsidR="004722D5">
        <w:t xml:space="preserve">mayor en </w:t>
      </w:r>
      <w:r w:rsidR="00D37867">
        <w:t>hombres que en mujer</w:t>
      </w:r>
      <w:r w:rsidR="008E5F23">
        <w:t>es</w:t>
      </w:r>
      <w:r w:rsidR="004722D5">
        <w:t xml:space="preserve">. A excepción </w:t>
      </w:r>
      <w:r w:rsidR="008E5F23">
        <w:t xml:space="preserve">de </w:t>
      </w:r>
      <w:r w:rsidR="00D37867">
        <w:t>Híjar, Crivillén y Ejulve.</w:t>
      </w: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B7067C">
        <w:t>Andorra, Ariño y La Puebla de Híjar</w:t>
      </w:r>
      <w:r w:rsidR="0020383E">
        <w:t>.</w:t>
      </w:r>
    </w:p>
    <w:p w:rsidR="00A954F5" w:rsidRDefault="00646071" w:rsidP="00C33F8E">
      <w:pPr>
        <w:jc w:val="center"/>
      </w:pPr>
      <w:r>
        <w:pict>
          <v:shape id="_x0000_i1034" type="#_x0000_t75" style="width:424.8pt;height:600.8pt">
            <v:imagedata r:id="rId45" o:title="tasafem_parofem"/>
          </v:shape>
        </w:pict>
      </w:r>
    </w:p>
    <w:p w:rsidR="00A954F5" w:rsidRDefault="00A954F5" w:rsidP="00A954F5">
      <w:pPr>
        <w:ind w:firstLine="708"/>
        <w:jc w:val="both"/>
      </w:pPr>
      <w:r>
        <w:t xml:space="preserve">Por otro lado vemos el mapa referente a la tasa de masculinidad respecto a la tasa de paro en hombres </w:t>
      </w:r>
      <w:r w:rsidR="006958DB">
        <w:t>y, lo que observamo</w:t>
      </w:r>
      <w:r w:rsidR="00DB2C44">
        <w:t xml:space="preserve">s es que, en su mayoría, las áreas donde la tasa de </w:t>
      </w:r>
      <w:r w:rsidR="00DB2C44">
        <w:lastRenderedPageBreak/>
        <w:t xml:space="preserve">masculinidad es </w:t>
      </w:r>
      <w:r w:rsidR="00C33F8E">
        <w:t>alta</w:t>
      </w:r>
      <w:r w:rsidR="00DB2C44">
        <w:t xml:space="preserve"> presentan tasas de paro en hombres </w:t>
      </w:r>
      <w:r w:rsidR="003022EF">
        <w:t>m</w:t>
      </w:r>
      <w:r w:rsidR="00C33F8E">
        <w:t>ayores. Es el caso de Andorra, Híjar y Albalate del Arzobispo.</w:t>
      </w:r>
    </w:p>
    <w:p w:rsidR="006958DB" w:rsidRDefault="00646071" w:rsidP="007C3A15">
      <w:pPr>
        <w:jc w:val="center"/>
      </w:pPr>
      <w:r>
        <w:pict>
          <v:shape id="_x0000_i1035" type="#_x0000_t75" style="width:403.2pt;height:570.4pt">
            <v:imagedata r:id="rId46" o:title="tasaparohom_tasamascu"/>
          </v:shape>
        </w:pict>
      </w:r>
    </w:p>
    <w:p w:rsidR="0010130B" w:rsidRDefault="0010130B" w:rsidP="00591C12"/>
    <w:p w:rsidR="006E4407" w:rsidRDefault="0010130B" w:rsidP="00A744E6">
      <w:pPr>
        <w:ind w:firstLine="993"/>
        <w:jc w:val="both"/>
      </w:pPr>
      <w:r>
        <w:t xml:space="preserve">Otra última relación que nos resultó interesante a la hora de realizar el análisis sobre </w:t>
      </w:r>
      <w:r w:rsidR="001F60B6">
        <w:t>la tasa de paro en el grupo ADIBAMA</w:t>
      </w:r>
      <w:r>
        <w:t xml:space="preserve"> fue la del paro total y la tasa de masculinidad</w:t>
      </w:r>
      <w:r w:rsidRPr="0010130B">
        <w:t xml:space="preserve"> </w:t>
      </w:r>
      <w:r w:rsidR="00A744E6">
        <w:t xml:space="preserve">de cada </w:t>
      </w:r>
      <w:r>
        <w:t xml:space="preserve">municipio. </w:t>
      </w:r>
    </w:p>
    <w:p w:rsidR="0010130B" w:rsidRDefault="00646071" w:rsidP="00920468">
      <w:pPr>
        <w:ind w:firstLine="567"/>
        <w:jc w:val="both"/>
      </w:pPr>
      <w:r>
        <w:lastRenderedPageBreak/>
        <w:pict>
          <v:shape id="_x0000_i1036" type="#_x0000_t75" style="width:399.2pt;height:541.6pt">
            <v:imagedata r:id="rId47" o:title="tasaparo_tasamascu"/>
          </v:shape>
        </w:pict>
      </w:r>
    </w:p>
    <w:p w:rsidR="0010130B" w:rsidRDefault="0010130B" w:rsidP="0010130B">
      <w:pPr>
        <w:ind w:firstLine="708"/>
        <w:jc w:val="both"/>
      </w:pPr>
      <w:r>
        <w:t xml:space="preserve">Al relacionar estas variables observamos como las áreas con una tasa de masculinidad </w:t>
      </w:r>
      <w:r w:rsidR="001F60B6">
        <w:t xml:space="preserve">alta </w:t>
      </w:r>
      <w:r>
        <w:t xml:space="preserve">o media </w:t>
      </w:r>
      <w:proofErr w:type="gramStart"/>
      <w:r>
        <w:t>presentan</w:t>
      </w:r>
      <w:proofErr w:type="gramEnd"/>
      <w:r>
        <w:t xml:space="preserve"> tasas de paro </w:t>
      </w:r>
      <w:r w:rsidR="00920468">
        <w:t>mayores</w:t>
      </w:r>
      <w:r>
        <w:t xml:space="preserve"> que las áreas donde l</w:t>
      </w:r>
      <w:r w:rsidR="005A7ADD">
        <w:t>a tasa de masculinidad es menor</w:t>
      </w:r>
      <w:r w:rsidR="001F60B6">
        <w:t>.</w:t>
      </w:r>
    </w:p>
    <w:p w:rsidR="00F00975" w:rsidRDefault="00F00975" w:rsidP="00920468"/>
    <w:p w:rsidR="00920468" w:rsidRDefault="00F00975" w:rsidP="00920468">
      <w:pPr>
        <w:ind w:firstLine="708"/>
        <w:jc w:val="both"/>
      </w:pPr>
      <w:r>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646071" w:rsidP="001F60B6">
      <w:pPr>
        <w:jc w:val="both"/>
      </w:pPr>
      <w:r>
        <w:lastRenderedPageBreak/>
        <w:pict>
          <v:shape id="_x0000_i1037" type="#_x0000_t75" style="width:424.8pt;height:578.4pt">
            <v:imagedata r:id="rId48" o:title="difsegsocialhym2014_densidad"/>
          </v:shape>
        </w:pict>
      </w:r>
    </w:p>
    <w:p w:rsidR="007C3A15" w:rsidRDefault="004E34E8" w:rsidP="001F60B6">
      <w:pPr>
        <w:ind w:firstLine="424"/>
        <w:jc w:val="both"/>
      </w:pPr>
      <w:r>
        <w:t xml:space="preserve">Analizando el mapa vemos como </w:t>
      </w:r>
      <w:r w:rsidR="0069681C">
        <w:t xml:space="preserve">todos los municipios muestran </w:t>
      </w:r>
      <w:r w:rsidR="00920468">
        <w:t xml:space="preserve">una clara mayoría de altas a la </w:t>
      </w:r>
      <w:r w:rsidR="0069681C">
        <w:t>seguridad social durante el periodo de septiembre de 2014 en hombres respecto a mujeres.</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5E8" w:rsidRDefault="00BB15E8" w:rsidP="005047FE">
      <w:pPr>
        <w:spacing w:after="0" w:line="240" w:lineRule="auto"/>
      </w:pPr>
      <w:r>
        <w:separator/>
      </w:r>
    </w:p>
  </w:endnote>
  <w:endnote w:type="continuationSeparator" w:id="0">
    <w:p w:rsidR="00BB15E8" w:rsidRDefault="00BB15E8"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646071" w:rsidRPr="0064607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646071" w:rsidRPr="0064607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5E8" w:rsidRDefault="00BB15E8" w:rsidP="005047FE">
      <w:pPr>
        <w:spacing w:after="0" w:line="240" w:lineRule="auto"/>
      </w:pPr>
      <w:r>
        <w:separator/>
      </w:r>
    </w:p>
  </w:footnote>
  <w:footnote w:type="continuationSeparator" w:id="0">
    <w:p w:rsidR="00BB15E8" w:rsidRDefault="00BB15E8"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DF360A" w:rsidP="00CD1578">
              <w:pPr>
                <w:pStyle w:val="Encabezado"/>
                <w:jc w:val="center"/>
                <w:rPr>
                  <w:caps/>
                  <w:color w:val="FFFFFF" w:themeColor="background1"/>
                </w:rPr>
              </w:pPr>
              <w:r>
                <w:rPr>
                  <w:caps/>
                  <w:color w:val="FFFFFF" w:themeColor="background1"/>
                </w:rPr>
                <w:t>Caracterización territorial del Bajo Martín-Sierra de Arcos. Asociación para el Desarrollo Integral del Bajo Martín y Andorra-Sierra de Arcos (Adibama)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507AF"/>
    <w:rsid w:val="000B4043"/>
    <w:rsid w:val="000E24E8"/>
    <w:rsid w:val="0010130B"/>
    <w:rsid w:val="00106908"/>
    <w:rsid w:val="00140D4F"/>
    <w:rsid w:val="00172F65"/>
    <w:rsid w:val="00173249"/>
    <w:rsid w:val="00183475"/>
    <w:rsid w:val="00187242"/>
    <w:rsid w:val="00190C45"/>
    <w:rsid w:val="00191788"/>
    <w:rsid w:val="001941A0"/>
    <w:rsid w:val="00195345"/>
    <w:rsid w:val="001A4186"/>
    <w:rsid w:val="001F60B6"/>
    <w:rsid w:val="0020383E"/>
    <w:rsid w:val="00226733"/>
    <w:rsid w:val="00247F9F"/>
    <w:rsid w:val="00264FE6"/>
    <w:rsid w:val="002655BE"/>
    <w:rsid w:val="002748A7"/>
    <w:rsid w:val="002C3354"/>
    <w:rsid w:val="002E0141"/>
    <w:rsid w:val="002E3108"/>
    <w:rsid w:val="002E3D44"/>
    <w:rsid w:val="003022EF"/>
    <w:rsid w:val="003431C8"/>
    <w:rsid w:val="00347641"/>
    <w:rsid w:val="003729DC"/>
    <w:rsid w:val="00384351"/>
    <w:rsid w:val="0039509A"/>
    <w:rsid w:val="003A36B8"/>
    <w:rsid w:val="003B3FA0"/>
    <w:rsid w:val="003D4E91"/>
    <w:rsid w:val="004015F0"/>
    <w:rsid w:val="004105C6"/>
    <w:rsid w:val="00424122"/>
    <w:rsid w:val="00425194"/>
    <w:rsid w:val="00452FBF"/>
    <w:rsid w:val="00460D1F"/>
    <w:rsid w:val="004722D5"/>
    <w:rsid w:val="004A1B29"/>
    <w:rsid w:val="004A5F80"/>
    <w:rsid w:val="004E34E8"/>
    <w:rsid w:val="005047FE"/>
    <w:rsid w:val="00533C22"/>
    <w:rsid w:val="00591C12"/>
    <w:rsid w:val="00592215"/>
    <w:rsid w:val="005A7ADD"/>
    <w:rsid w:val="005C032F"/>
    <w:rsid w:val="005C7A73"/>
    <w:rsid w:val="005E1E26"/>
    <w:rsid w:val="005F081D"/>
    <w:rsid w:val="005F110C"/>
    <w:rsid w:val="005F2FC9"/>
    <w:rsid w:val="00625167"/>
    <w:rsid w:val="00641D40"/>
    <w:rsid w:val="00646071"/>
    <w:rsid w:val="00660D14"/>
    <w:rsid w:val="006622A5"/>
    <w:rsid w:val="00672DB1"/>
    <w:rsid w:val="00677B14"/>
    <w:rsid w:val="006958DB"/>
    <w:rsid w:val="0069616A"/>
    <w:rsid w:val="0069681C"/>
    <w:rsid w:val="006A183E"/>
    <w:rsid w:val="006D7F6B"/>
    <w:rsid w:val="006E4407"/>
    <w:rsid w:val="006F1599"/>
    <w:rsid w:val="006F2D85"/>
    <w:rsid w:val="00716F00"/>
    <w:rsid w:val="007344D7"/>
    <w:rsid w:val="00746BD5"/>
    <w:rsid w:val="0076505F"/>
    <w:rsid w:val="0077413A"/>
    <w:rsid w:val="007A3D6C"/>
    <w:rsid w:val="007A47A5"/>
    <w:rsid w:val="007B1A63"/>
    <w:rsid w:val="007C3A15"/>
    <w:rsid w:val="008222AC"/>
    <w:rsid w:val="008274D8"/>
    <w:rsid w:val="0089418C"/>
    <w:rsid w:val="0089728B"/>
    <w:rsid w:val="008D4C33"/>
    <w:rsid w:val="008E143A"/>
    <w:rsid w:val="008E5F23"/>
    <w:rsid w:val="00906EF5"/>
    <w:rsid w:val="00912BD7"/>
    <w:rsid w:val="00920468"/>
    <w:rsid w:val="00923EF1"/>
    <w:rsid w:val="00924E6A"/>
    <w:rsid w:val="0092710E"/>
    <w:rsid w:val="00934ACD"/>
    <w:rsid w:val="009704C6"/>
    <w:rsid w:val="00974B32"/>
    <w:rsid w:val="009C4330"/>
    <w:rsid w:val="009D7D21"/>
    <w:rsid w:val="009F21D0"/>
    <w:rsid w:val="00A06A74"/>
    <w:rsid w:val="00A22F2E"/>
    <w:rsid w:val="00A744E6"/>
    <w:rsid w:val="00A84D47"/>
    <w:rsid w:val="00A870E9"/>
    <w:rsid w:val="00A954F5"/>
    <w:rsid w:val="00AB3ED5"/>
    <w:rsid w:val="00AF7330"/>
    <w:rsid w:val="00B01298"/>
    <w:rsid w:val="00B07BC3"/>
    <w:rsid w:val="00B12E0D"/>
    <w:rsid w:val="00B166B5"/>
    <w:rsid w:val="00B26632"/>
    <w:rsid w:val="00B30CAE"/>
    <w:rsid w:val="00B32B00"/>
    <w:rsid w:val="00B50C23"/>
    <w:rsid w:val="00B55AEC"/>
    <w:rsid w:val="00B56B75"/>
    <w:rsid w:val="00B7067C"/>
    <w:rsid w:val="00B808EA"/>
    <w:rsid w:val="00BA79BD"/>
    <w:rsid w:val="00BB15E8"/>
    <w:rsid w:val="00BC4612"/>
    <w:rsid w:val="00BE4020"/>
    <w:rsid w:val="00BE5550"/>
    <w:rsid w:val="00BE7B7A"/>
    <w:rsid w:val="00BF7E34"/>
    <w:rsid w:val="00C22CED"/>
    <w:rsid w:val="00C33F8E"/>
    <w:rsid w:val="00C434E8"/>
    <w:rsid w:val="00C47ACF"/>
    <w:rsid w:val="00C6493A"/>
    <w:rsid w:val="00C85969"/>
    <w:rsid w:val="00CD1578"/>
    <w:rsid w:val="00CE55AE"/>
    <w:rsid w:val="00CF506D"/>
    <w:rsid w:val="00D139A2"/>
    <w:rsid w:val="00D16764"/>
    <w:rsid w:val="00D37867"/>
    <w:rsid w:val="00D5655F"/>
    <w:rsid w:val="00DA6CCE"/>
    <w:rsid w:val="00DB2C44"/>
    <w:rsid w:val="00DB3992"/>
    <w:rsid w:val="00DC45B6"/>
    <w:rsid w:val="00DF360A"/>
    <w:rsid w:val="00DF3ECE"/>
    <w:rsid w:val="00E278F1"/>
    <w:rsid w:val="00E57B3A"/>
    <w:rsid w:val="00E66DCA"/>
    <w:rsid w:val="00E73376"/>
    <w:rsid w:val="00E7420F"/>
    <w:rsid w:val="00E87CD9"/>
    <w:rsid w:val="00EA5905"/>
    <w:rsid w:val="00EB7E4E"/>
    <w:rsid w:val="00EC083C"/>
    <w:rsid w:val="00EC5221"/>
    <w:rsid w:val="00EE4D4D"/>
    <w:rsid w:val="00EE76FE"/>
    <w:rsid w:val="00EF445D"/>
    <w:rsid w:val="00F00975"/>
    <w:rsid w:val="00F06D75"/>
    <w:rsid w:val="00F227F3"/>
    <w:rsid w:val="00F34F01"/>
    <w:rsid w:val="00F36D27"/>
    <w:rsid w:val="00F54164"/>
    <w:rsid w:val="00F6732C"/>
    <w:rsid w:val="00F74E34"/>
    <w:rsid w:val="00FA17CC"/>
    <w:rsid w:val="00FB730B"/>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(ADIBAMA)</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1.9517924053464572E-2</c:v>
                </c:pt>
                <c:pt idx="1">
                  <c:v>1.7672389687377662E-2</c:v>
                </c:pt>
                <c:pt idx="2">
                  <c:v>2.0468653878418432E-2</c:v>
                </c:pt>
                <c:pt idx="3">
                  <c:v>2.242603881214697E-2</c:v>
                </c:pt>
                <c:pt idx="4">
                  <c:v>2.6676360382528942E-2</c:v>
                </c:pt>
                <c:pt idx="5">
                  <c:v>2.7011912085453834E-2</c:v>
                </c:pt>
                <c:pt idx="6">
                  <c:v>2.7794866058945249E-2</c:v>
                </c:pt>
                <c:pt idx="7">
                  <c:v>3.1318158939656622E-2</c:v>
                </c:pt>
                <c:pt idx="8">
                  <c:v>3.2101112913148037E-2</c:v>
                </c:pt>
                <c:pt idx="9">
                  <c:v>3.9035848106929144E-2</c:v>
                </c:pt>
                <c:pt idx="10">
                  <c:v>3.6686986186454898E-2</c:v>
                </c:pt>
                <c:pt idx="11">
                  <c:v>2.9248923438286448E-2</c:v>
                </c:pt>
                <c:pt idx="12">
                  <c:v>2.4830826016442032E-2</c:v>
                </c:pt>
                <c:pt idx="13">
                  <c:v>2.5613779989933447E-2</c:v>
                </c:pt>
                <c:pt idx="14">
                  <c:v>2.0860130865164139E-2</c:v>
                </c:pt>
                <c:pt idx="15">
                  <c:v>3.2101112913148037E-2</c:v>
                </c:pt>
                <c:pt idx="16">
                  <c:v>2.9304848722107264E-2</c:v>
                </c:pt>
                <c:pt idx="17">
                  <c:v>1.733683798445277E-2</c:v>
                </c:pt>
                <c:pt idx="18">
                  <c:v>6.207706504110508E-3</c:v>
                </c:pt>
                <c:pt idx="19">
                  <c:v>2.0692355013701693E-3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-1.7728314971198478E-2</c:v>
                </c:pt>
                <c:pt idx="1">
                  <c:v>-2.0412728594597619E-2</c:v>
                </c:pt>
                <c:pt idx="2">
                  <c:v>-2.1195682568089035E-2</c:v>
                </c:pt>
                <c:pt idx="3">
                  <c:v>-2.3656395056204909E-2</c:v>
                </c:pt>
                <c:pt idx="4">
                  <c:v>-2.8521894748615849E-2</c:v>
                </c:pt>
                <c:pt idx="5">
                  <c:v>-3.1374084223477434E-2</c:v>
                </c:pt>
                <c:pt idx="6">
                  <c:v>-3.5736256361501031E-2</c:v>
                </c:pt>
                <c:pt idx="7">
                  <c:v>-3.769364129522957E-2</c:v>
                </c:pt>
                <c:pt idx="8">
                  <c:v>-3.4114423130697388E-2</c:v>
                </c:pt>
                <c:pt idx="9">
                  <c:v>-4.233543985235725E-2</c:v>
                </c:pt>
                <c:pt idx="10">
                  <c:v>-4.6306135003635146E-2</c:v>
                </c:pt>
                <c:pt idx="11">
                  <c:v>-3.5232928807113699E-2</c:v>
                </c:pt>
                <c:pt idx="12">
                  <c:v>-2.8410044180974217E-2</c:v>
                </c:pt>
                <c:pt idx="13">
                  <c:v>-2.3656395056204909E-2</c:v>
                </c:pt>
                <c:pt idx="14">
                  <c:v>-1.8623119512331525E-2</c:v>
                </c:pt>
                <c:pt idx="15">
                  <c:v>-2.5557854706112635E-2</c:v>
                </c:pt>
                <c:pt idx="16">
                  <c:v>-2.3600469772384097E-2</c:v>
                </c:pt>
                <c:pt idx="17">
                  <c:v>-1.2639114143504278E-2</c:v>
                </c:pt>
                <c:pt idx="18">
                  <c:v>-4.1384710027403387E-3</c:v>
                </c:pt>
                <c:pt idx="19">
                  <c:v>-7.8295397349141549E-4</c:v>
                </c:pt>
              </c:numCache>
            </c:numRef>
          </c:val>
        </c:ser>
        <c:dLbls>
          <c:showLegendKey val="0"/>
          <c:showVal val="0"/>
          <c:showCatName val="0"/>
          <c:showSerName val="0"/>
          <c:showPercent val="0"/>
          <c:showBubbleSize val="0"/>
        </c:dLbls>
        <c:gapWidth val="150"/>
        <c:axId val="114009088"/>
        <c:axId val="92027648"/>
      </c:barChart>
      <c:catAx>
        <c:axId val="114009088"/>
        <c:scaling>
          <c:orientation val="minMax"/>
        </c:scaling>
        <c:delete val="0"/>
        <c:axPos val="l"/>
        <c:majorTickMark val="out"/>
        <c:minorTickMark val="none"/>
        <c:tickLblPos val="low"/>
        <c:crossAx val="92027648"/>
        <c:crosses val="autoZero"/>
        <c:auto val="1"/>
        <c:lblAlgn val="ctr"/>
        <c:lblOffset val="100"/>
        <c:noMultiLvlLbl val="0"/>
      </c:catAx>
      <c:valAx>
        <c:axId val="92027648"/>
        <c:scaling>
          <c:orientation val="minMax"/>
        </c:scaling>
        <c:delete val="1"/>
        <c:axPos val="b"/>
        <c:majorGridlines/>
        <c:numFmt formatCode="General" sourceLinked="1"/>
        <c:majorTickMark val="out"/>
        <c:minorTickMark val="none"/>
        <c:tickLblPos val="nextTo"/>
        <c:crossAx val="11400908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ADIBAMA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6.8462814151655699E-2"/>
          <c:y val="0.11174023837773703"/>
          <c:w val="0.91013307625930318"/>
          <c:h val="0.68988815931398983"/>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7</c:v>
                </c:pt>
                <c:pt idx="1">
                  <c:v>119</c:v>
                </c:pt>
                <c:pt idx="2">
                  <c:v>256</c:v>
                </c:pt>
                <c:pt idx="3">
                  <c:v>408</c:v>
                </c:pt>
                <c:pt idx="4">
                  <c:v>467</c:v>
                </c:pt>
                <c:pt idx="5">
                  <c:v>476</c:v>
                </c:pt>
                <c:pt idx="6">
                  <c:v>557</c:v>
                </c:pt>
                <c:pt idx="7">
                  <c:v>487</c:v>
                </c:pt>
                <c:pt idx="8">
                  <c:v>305</c:v>
                </c:pt>
                <c:pt idx="9">
                  <c:v>153</c:v>
                </c:pt>
                <c:pt idx="10">
                  <c:v>14</c:v>
                </c:pt>
                <c:pt idx="11">
                  <c:v>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2</c:v>
                </c:pt>
                <c:pt idx="1">
                  <c:v>52</c:v>
                </c:pt>
                <c:pt idx="2">
                  <c:v>132</c:v>
                </c:pt>
                <c:pt idx="3">
                  <c:v>211</c:v>
                </c:pt>
                <c:pt idx="4">
                  <c:v>241</c:v>
                </c:pt>
                <c:pt idx="5">
                  <c:v>284</c:v>
                </c:pt>
                <c:pt idx="6">
                  <c:v>258</c:v>
                </c:pt>
                <c:pt idx="7">
                  <c:v>279</c:v>
                </c:pt>
                <c:pt idx="8">
                  <c:v>127</c:v>
                </c:pt>
                <c:pt idx="9">
                  <c:v>92</c:v>
                </c:pt>
                <c:pt idx="10">
                  <c:v>5</c:v>
                </c:pt>
                <c:pt idx="11">
                  <c:v>2</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9</c:v>
                </c:pt>
                <c:pt idx="1">
                  <c:v>171</c:v>
                </c:pt>
                <c:pt idx="2">
                  <c:v>388</c:v>
                </c:pt>
                <c:pt idx="3">
                  <c:v>619</c:v>
                </c:pt>
                <c:pt idx="4">
                  <c:v>708</c:v>
                </c:pt>
                <c:pt idx="5">
                  <c:v>760</c:v>
                </c:pt>
                <c:pt idx="6">
                  <c:v>815</c:v>
                </c:pt>
                <c:pt idx="7">
                  <c:v>766</c:v>
                </c:pt>
                <c:pt idx="8">
                  <c:v>432</c:v>
                </c:pt>
                <c:pt idx="9">
                  <c:v>245</c:v>
                </c:pt>
                <c:pt idx="10">
                  <c:v>19</c:v>
                </c:pt>
                <c:pt idx="11">
                  <c:v>4</c:v>
                </c:pt>
              </c:numCache>
            </c:numRef>
          </c:val>
        </c:ser>
        <c:dLbls>
          <c:showLegendKey val="0"/>
          <c:showVal val="0"/>
          <c:showCatName val="0"/>
          <c:showSerName val="0"/>
          <c:showPercent val="0"/>
          <c:showBubbleSize val="0"/>
        </c:dLbls>
        <c:gapWidth val="150"/>
        <c:axId val="114764800"/>
        <c:axId val="114693184"/>
      </c:barChart>
      <c:catAx>
        <c:axId val="114764800"/>
        <c:scaling>
          <c:orientation val="minMax"/>
        </c:scaling>
        <c:delete val="0"/>
        <c:axPos val="b"/>
        <c:majorTickMark val="out"/>
        <c:minorTickMark val="none"/>
        <c:tickLblPos val="nextTo"/>
        <c:crossAx val="114693184"/>
        <c:crosses val="autoZero"/>
        <c:auto val="1"/>
        <c:lblAlgn val="ctr"/>
        <c:lblOffset val="100"/>
        <c:noMultiLvlLbl val="0"/>
      </c:catAx>
      <c:valAx>
        <c:axId val="114693184"/>
        <c:scaling>
          <c:orientation val="minMax"/>
        </c:scaling>
        <c:delete val="0"/>
        <c:axPos val="l"/>
        <c:majorGridlines/>
        <c:numFmt formatCode="General" sourceLinked="1"/>
        <c:majorTickMark val="out"/>
        <c:minorTickMark val="none"/>
        <c:tickLblPos val="nextTo"/>
        <c:crossAx val="1147648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ADIBAMA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5983586933390079E-2"/>
          <c:y val="0.11966496581019476"/>
          <c:w val="0.90079006171525844"/>
          <c:h val="0.66101099513054284"/>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11</c:v>
                </c:pt>
                <c:pt idx="1">
                  <c:v>123</c:v>
                </c:pt>
                <c:pt idx="2">
                  <c:v>243</c:v>
                </c:pt>
                <c:pt idx="3">
                  <c:v>405</c:v>
                </c:pt>
                <c:pt idx="4">
                  <c:v>458</c:v>
                </c:pt>
                <c:pt idx="5">
                  <c:v>467</c:v>
                </c:pt>
                <c:pt idx="6">
                  <c:v>543</c:v>
                </c:pt>
                <c:pt idx="7">
                  <c:v>468</c:v>
                </c:pt>
                <c:pt idx="8">
                  <c:v>293</c:v>
                </c:pt>
                <c:pt idx="9">
                  <c:v>142</c:v>
                </c:pt>
                <c:pt idx="10">
                  <c:v>9</c:v>
                </c:pt>
                <c:pt idx="11">
                  <c:v>2</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7</c:v>
                </c:pt>
                <c:pt idx="1">
                  <c:v>57</c:v>
                </c:pt>
                <c:pt idx="2">
                  <c:v>134</c:v>
                </c:pt>
                <c:pt idx="3">
                  <c:v>212</c:v>
                </c:pt>
                <c:pt idx="4">
                  <c:v>246</c:v>
                </c:pt>
                <c:pt idx="5">
                  <c:v>261</c:v>
                </c:pt>
                <c:pt idx="6">
                  <c:v>244</c:v>
                </c:pt>
                <c:pt idx="7">
                  <c:v>233</c:v>
                </c:pt>
                <c:pt idx="8">
                  <c:v>116</c:v>
                </c:pt>
                <c:pt idx="9">
                  <c:v>80</c:v>
                </c:pt>
                <c:pt idx="10">
                  <c:v>8</c:v>
                </c:pt>
                <c:pt idx="11">
                  <c:v>2</c:v>
                </c:pt>
              </c:numCache>
            </c:numRef>
          </c:val>
        </c:ser>
        <c:dLbls>
          <c:showLegendKey val="0"/>
          <c:showVal val="0"/>
          <c:showCatName val="0"/>
          <c:showSerName val="0"/>
          <c:showPercent val="0"/>
          <c:showBubbleSize val="0"/>
        </c:dLbls>
        <c:gapWidth val="150"/>
        <c:axId val="91986432"/>
        <c:axId val="114694912"/>
      </c:barChart>
      <c:catAx>
        <c:axId val="91986432"/>
        <c:scaling>
          <c:orientation val="minMax"/>
        </c:scaling>
        <c:delete val="0"/>
        <c:axPos val="b"/>
        <c:majorTickMark val="out"/>
        <c:minorTickMark val="none"/>
        <c:tickLblPos val="nextTo"/>
        <c:crossAx val="114694912"/>
        <c:crosses val="autoZero"/>
        <c:auto val="1"/>
        <c:lblAlgn val="ctr"/>
        <c:lblOffset val="100"/>
        <c:noMultiLvlLbl val="0"/>
      </c:catAx>
      <c:valAx>
        <c:axId val="114694912"/>
        <c:scaling>
          <c:orientation val="minMax"/>
        </c:scaling>
        <c:delete val="0"/>
        <c:axPos val="l"/>
        <c:majorGridlines/>
        <c:numFmt formatCode="General" sourceLinked="1"/>
        <c:majorTickMark val="out"/>
        <c:minorTickMark val="none"/>
        <c:tickLblPos val="nextTo"/>
        <c:crossAx val="919864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manualLayout>
          <c:xMode val="edge"/>
          <c:yMode val="edge"/>
          <c:x val="0.24737603745477757"/>
          <c:y val="5.6980760659634526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8878131247195137"/>
          <c:w val="0.67713786621266947"/>
          <c:h val="0.63276768593692623"/>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ADIBAMA</c:v>
                  </c:pt>
                </c:lvl>
              </c:multiLvlStrCache>
            </c:multiLvlStrRef>
          </c:cat>
          <c:val>
            <c:numRef>
              <c:f>'Tabla régimen-actividad JUN'!$B$9:$B$11</c:f>
              <c:numCache>
                <c:formatCode>General</c:formatCode>
                <c:ptCount val="2"/>
                <c:pt idx="0">
                  <c:v>339</c:v>
                </c:pt>
                <c:pt idx="1">
                  <c:v>300</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ADIBAMA</c:v>
                  </c:pt>
                </c:lvl>
              </c:multiLvlStrCache>
            </c:multiLvlStrRef>
          </c:cat>
          <c:val>
            <c:numRef>
              <c:f>'Tabla régimen-actividad JUN'!$C$9:$C$11</c:f>
              <c:numCache>
                <c:formatCode>General</c:formatCode>
                <c:ptCount val="2"/>
                <c:pt idx="0">
                  <c:v>96</c:v>
                </c:pt>
                <c:pt idx="1">
                  <c:v>1060</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ADIBAMA</c:v>
                  </c:pt>
                </c:lvl>
              </c:multiLvlStrCache>
            </c:multiLvlStrRef>
          </c:cat>
          <c:val>
            <c:numRef>
              <c:f>'Tabla régimen-actividad JUN'!$D$9:$D$11</c:f>
              <c:numCache>
                <c:formatCode>General</c:formatCode>
                <c:ptCount val="2"/>
                <c:pt idx="0">
                  <c:v>195</c:v>
                </c:pt>
                <c:pt idx="1">
                  <c:v>372</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ADIBAMA</c:v>
                  </c:pt>
                </c:lvl>
              </c:multiLvlStrCache>
            </c:multiLvlStrRef>
          </c:cat>
          <c:val>
            <c:numRef>
              <c:f>'Tabla régimen-actividad JUN'!$E$9:$E$11</c:f>
              <c:numCache>
                <c:formatCode>General</c:formatCode>
                <c:ptCount val="2"/>
                <c:pt idx="0">
                  <c:v>717</c:v>
                </c:pt>
                <c:pt idx="1">
                  <c:v>1530</c:v>
                </c:pt>
              </c:numCache>
            </c:numRef>
          </c:val>
        </c:ser>
        <c:dLbls>
          <c:showLegendKey val="0"/>
          <c:showVal val="0"/>
          <c:showCatName val="0"/>
          <c:showSerName val="0"/>
          <c:showPercent val="0"/>
          <c:showBubbleSize val="0"/>
        </c:dLbls>
        <c:gapWidth val="150"/>
        <c:shape val="box"/>
        <c:axId val="111095296"/>
        <c:axId val="115139136"/>
        <c:axId val="0"/>
      </c:bar3DChart>
      <c:catAx>
        <c:axId val="111095296"/>
        <c:scaling>
          <c:orientation val="minMax"/>
        </c:scaling>
        <c:delete val="0"/>
        <c:axPos val="b"/>
        <c:majorTickMark val="out"/>
        <c:minorTickMark val="none"/>
        <c:tickLblPos val="nextTo"/>
        <c:crossAx val="115139136"/>
        <c:crosses val="autoZero"/>
        <c:auto val="1"/>
        <c:lblAlgn val="ctr"/>
        <c:lblOffset val="100"/>
        <c:noMultiLvlLbl val="0"/>
      </c:catAx>
      <c:valAx>
        <c:axId val="115139136"/>
        <c:scaling>
          <c:orientation val="minMax"/>
        </c:scaling>
        <c:delete val="0"/>
        <c:axPos val="l"/>
        <c:majorGridlines/>
        <c:numFmt formatCode="General" sourceLinked="1"/>
        <c:majorTickMark val="out"/>
        <c:minorTickMark val="none"/>
        <c:tickLblPos val="nextTo"/>
        <c:crossAx val="111095296"/>
        <c:crosses val="autoZero"/>
        <c:crossBetween val="between"/>
      </c:valAx>
    </c:plotArea>
    <c:legend>
      <c:legendPos val="b"/>
      <c:layout>
        <c:manualLayout>
          <c:xMode val="edge"/>
          <c:yMode val="edge"/>
          <c:x val="0.76488100305029461"/>
          <c:y val="0.25209531591569917"/>
          <c:w val="0.20897673263814995"/>
          <c:h val="0.6362995309548570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ADIBAMA</c:v>
                  </c:pt>
                </c:lvl>
              </c:multiLvlStrCache>
            </c:multiLvlStrRef>
          </c:cat>
          <c:val>
            <c:numRef>
              <c:f>'Gráfico altas régimen y sexo'!$C$9:$C$12</c:f>
              <c:numCache>
                <c:formatCode>General</c:formatCode>
                <c:ptCount val="2"/>
                <c:pt idx="0">
                  <c:v>1344</c:v>
                </c:pt>
                <c:pt idx="1">
                  <c:v>3353</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ADIBAMA</c:v>
                  </c:pt>
                </c:lvl>
              </c:multiLvlStrCache>
            </c:multiLvlStrRef>
          </c:cat>
          <c:val>
            <c:numRef>
              <c:f>'Gráfico altas régimen y sexo'!$D$9:$D$12</c:f>
              <c:numCache>
                <c:formatCode>General</c:formatCode>
                <c:ptCount val="2"/>
                <c:pt idx="0">
                  <c:v>882</c:v>
                </c:pt>
                <c:pt idx="1">
                  <c:v>2133</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ADIBAMA</c:v>
                  </c:pt>
                </c:lvl>
              </c:multiLvlStrCache>
            </c:multiLvlStrRef>
          </c:cat>
          <c:val>
            <c:numRef>
              <c:f>'Gráfico altas régimen y sexo'!$E$9:$E$12</c:f>
              <c:numCache>
                <c:formatCode>General</c:formatCode>
                <c:ptCount val="2"/>
                <c:pt idx="0">
                  <c:v>462</c:v>
                </c:pt>
                <c:pt idx="1">
                  <c:v>1220</c:v>
                </c:pt>
              </c:numCache>
            </c:numRef>
          </c:val>
        </c:ser>
        <c:dLbls>
          <c:showLegendKey val="0"/>
          <c:showVal val="0"/>
          <c:showCatName val="0"/>
          <c:showSerName val="0"/>
          <c:showPercent val="0"/>
          <c:showBubbleSize val="0"/>
        </c:dLbls>
        <c:gapWidth val="150"/>
        <c:shape val="box"/>
        <c:axId val="115213312"/>
        <c:axId val="115140864"/>
        <c:axId val="0"/>
      </c:bar3DChart>
      <c:catAx>
        <c:axId val="115213312"/>
        <c:scaling>
          <c:orientation val="minMax"/>
        </c:scaling>
        <c:delete val="0"/>
        <c:axPos val="b"/>
        <c:majorTickMark val="out"/>
        <c:minorTickMark val="none"/>
        <c:tickLblPos val="nextTo"/>
        <c:crossAx val="115140864"/>
        <c:crosses val="autoZero"/>
        <c:auto val="1"/>
        <c:lblAlgn val="ctr"/>
        <c:lblOffset val="100"/>
        <c:noMultiLvlLbl val="0"/>
      </c:catAx>
      <c:valAx>
        <c:axId val="115140864"/>
        <c:scaling>
          <c:orientation val="minMax"/>
        </c:scaling>
        <c:delete val="0"/>
        <c:axPos val="l"/>
        <c:majorGridlines/>
        <c:numFmt formatCode="General" sourceLinked="1"/>
        <c:majorTickMark val="out"/>
        <c:minorTickMark val="none"/>
        <c:tickLblPos val="nextTo"/>
        <c:crossAx val="115213312"/>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ADIBAMA</a:t>
            </a:r>
          </a:p>
        </c:rich>
      </c:tx>
      <c:layout/>
      <c:overlay val="1"/>
    </c:title>
    <c:autoTitleDeleted val="0"/>
    <c:pivotFmts>
      <c:pivotFmt>
        <c:idx val="0"/>
      </c:pivotFmt>
      <c:pivotFmt>
        <c:idx val="1"/>
      </c:pivotFmt>
      <c:pivotFmt>
        <c:idx val="2"/>
      </c:pivotFmt>
    </c:pivotFmts>
    <c:plotArea>
      <c:layout>
        <c:manualLayout>
          <c:layoutTarget val="inner"/>
          <c:xMode val="edge"/>
          <c:yMode val="edge"/>
          <c:x val="9.5198673082531354E-2"/>
          <c:y val="0.15046599856836076"/>
          <c:w val="0.85850503062117234"/>
          <c:h val="0.62470794559770937"/>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28361</c:v>
                </c:pt>
                <c:pt idx="1">
                  <c:v>31205</c:v>
                </c:pt>
                <c:pt idx="2">
                  <c:v>31371</c:v>
                </c:pt>
                <c:pt idx="3">
                  <c:v>30465</c:v>
                </c:pt>
                <c:pt idx="4">
                  <c:v>29098</c:v>
                </c:pt>
                <c:pt idx="5">
                  <c:v>30088</c:v>
                </c:pt>
                <c:pt idx="6">
                  <c:v>31103</c:v>
                </c:pt>
                <c:pt idx="7">
                  <c:v>23534</c:v>
                </c:pt>
                <c:pt idx="8">
                  <c:v>22093</c:v>
                </c:pt>
                <c:pt idx="9">
                  <c:v>21090</c:v>
                </c:pt>
                <c:pt idx="10">
                  <c:v>18363</c:v>
                </c:pt>
                <c:pt idx="11">
                  <c:v>18141</c:v>
                </c:pt>
                <c:pt idx="12">
                  <c:v>17881</c:v>
                </c:pt>
              </c:numCache>
            </c:numRef>
          </c:val>
          <c:smooth val="0"/>
        </c:ser>
        <c:dLbls>
          <c:showLegendKey val="0"/>
          <c:showVal val="0"/>
          <c:showCatName val="0"/>
          <c:showSerName val="0"/>
          <c:showPercent val="0"/>
          <c:showBubbleSize val="0"/>
        </c:dLbls>
        <c:marker val="1"/>
        <c:smooth val="0"/>
        <c:axId val="114010112"/>
        <c:axId val="114303552"/>
      </c:lineChart>
      <c:catAx>
        <c:axId val="114010112"/>
        <c:scaling>
          <c:orientation val="minMax"/>
        </c:scaling>
        <c:delete val="0"/>
        <c:axPos val="b"/>
        <c:majorTickMark val="out"/>
        <c:minorTickMark val="none"/>
        <c:tickLblPos val="nextTo"/>
        <c:crossAx val="114303552"/>
        <c:crosses val="autoZero"/>
        <c:auto val="1"/>
        <c:lblAlgn val="ctr"/>
        <c:lblOffset val="100"/>
        <c:noMultiLvlLbl val="0"/>
      </c:catAx>
      <c:valAx>
        <c:axId val="114303552"/>
        <c:scaling>
          <c:orientation val="minMax"/>
        </c:scaling>
        <c:delete val="0"/>
        <c:axPos val="l"/>
        <c:majorGridlines/>
        <c:numFmt formatCode="General" sourceLinked="1"/>
        <c:majorTickMark val="out"/>
        <c:minorTickMark val="none"/>
        <c:tickLblPos val="nextTo"/>
        <c:crossAx val="114010112"/>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 por municipios</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126</c:v>
                </c:pt>
                <c:pt idx="1">
                  <c:v>2377</c:v>
                </c:pt>
                <c:pt idx="2">
                  <c:v>3277</c:v>
                </c:pt>
                <c:pt idx="3">
                  <c:v>3823</c:v>
                </c:pt>
                <c:pt idx="4">
                  <c:v>8278</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2</c:v>
                </c:pt>
                <c:pt idx="1">
                  <c:v>9</c:v>
                </c:pt>
                <c:pt idx="2">
                  <c:v>4</c:v>
                </c:pt>
                <c:pt idx="3">
                  <c:v>2</c:v>
                </c:pt>
                <c:pt idx="4">
                  <c:v>1</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(ADIBAMA)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0519999850090134"/>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ADIBAMA</c:v>
                </c:pt>
              </c:strCache>
            </c:strRef>
          </c:cat>
          <c:val>
            <c:numRef>
              <c:f>'nacimientos grupo'!$B$7:$B$8</c:f>
              <c:numCache>
                <c:formatCode>General</c:formatCode>
                <c:ptCount val="1"/>
                <c:pt idx="0">
                  <c:v>135</c:v>
                </c:pt>
              </c:numCache>
            </c:numRef>
          </c:val>
        </c:ser>
        <c:ser>
          <c:idx val="1"/>
          <c:order val="1"/>
          <c:tx>
            <c:strRef>
              <c:f>'nacimientos grupo'!$C$5:$C$6</c:f>
              <c:strCache>
                <c:ptCount val="1"/>
                <c:pt idx="0">
                  <c:v>Año 2011</c:v>
                </c:pt>
              </c:strCache>
            </c:strRef>
          </c:tx>
          <c:invertIfNegative val="0"/>
          <c:cat>
            <c:strRef>
              <c:f>'nacimientos grupo'!$A$7:$A$8</c:f>
              <c:strCache>
                <c:ptCount val="1"/>
                <c:pt idx="0">
                  <c:v>ADIBAMA</c:v>
                </c:pt>
              </c:strCache>
            </c:strRef>
          </c:cat>
          <c:val>
            <c:numRef>
              <c:f>'nacimientos grupo'!$C$7:$C$8</c:f>
              <c:numCache>
                <c:formatCode>General</c:formatCode>
                <c:ptCount val="1"/>
                <c:pt idx="0">
                  <c:v>112</c:v>
                </c:pt>
              </c:numCache>
            </c:numRef>
          </c:val>
        </c:ser>
        <c:ser>
          <c:idx val="2"/>
          <c:order val="2"/>
          <c:tx>
            <c:strRef>
              <c:f>'nacimientos grupo'!$D$5:$D$6</c:f>
              <c:strCache>
                <c:ptCount val="1"/>
                <c:pt idx="0">
                  <c:v>Año 2010</c:v>
                </c:pt>
              </c:strCache>
            </c:strRef>
          </c:tx>
          <c:invertIfNegative val="0"/>
          <c:cat>
            <c:strRef>
              <c:f>'nacimientos grupo'!$A$7:$A$8</c:f>
              <c:strCache>
                <c:ptCount val="1"/>
                <c:pt idx="0">
                  <c:v>ADIBAMA</c:v>
                </c:pt>
              </c:strCache>
            </c:strRef>
          </c:cat>
          <c:val>
            <c:numRef>
              <c:f>'nacimientos grupo'!$D$7:$D$8</c:f>
              <c:numCache>
                <c:formatCode>General</c:formatCode>
                <c:ptCount val="1"/>
                <c:pt idx="0">
                  <c:v>119</c:v>
                </c:pt>
              </c:numCache>
            </c:numRef>
          </c:val>
        </c:ser>
        <c:ser>
          <c:idx val="3"/>
          <c:order val="3"/>
          <c:tx>
            <c:strRef>
              <c:f>'nacimientos grupo'!$E$5:$E$6</c:f>
              <c:strCache>
                <c:ptCount val="1"/>
                <c:pt idx="0">
                  <c:v>Año 2009</c:v>
                </c:pt>
              </c:strCache>
            </c:strRef>
          </c:tx>
          <c:invertIfNegative val="0"/>
          <c:cat>
            <c:strRef>
              <c:f>'nacimientos grupo'!$A$7:$A$8</c:f>
              <c:strCache>
                <c:ptCount val="1"/>
                <c:pt idx="0">
                  <c:v>ADIBAMA</c:v>
                </c:pt>
              </c:strCache>
            </c:strRef>
          </c:cat>
          <c:val>
            <c:numRef>
              <c:f>'nacimientos grupo'!$E$7:$E$8</c:f>
              <c:numCache>
                <c:formatCode>General</c:formatCode>
                <c:ptCount val="1"/>
                <c:pt idx="0">
                  <c:v>134</c:v>
                </c:pt>
              </c:numCache>
            </c:numRef>
          </c:val>
        </c:ser>
        <c:ser>
          <c:idx val="4"/>
          <c:order val="4"/>
          <c:tx>
            <c:strRef>
              <c:f>'nacimientos grupo'!$F$5:$F$6</c:f>
              <c:strCache>
                <c:ptCount val="1"/>
                <c:pt idx="0">
                  <c:v>Año 2008</c:v>
                </c:pt>
              </c:strCache>
            </c:strRef>
          </c:tx>
          <c:invertIfNegative val="0"/>
          <c:cat>
            <c:strRef>
              <c:f>'nacimientos grupo'!$A$7:$A$8</c:f>
              <c:strCache>
                <c:ptCount val="1"/>
                <c:pt idx="0">
                  <c:v>ADIBAMA</c:v>
                </c:pt>
              </c:strCache>
            </c:strRef>
          </c:cat>
          <c:val>
            <c:numRef>
              <c:f>'nacimientos grupo'!$F$7:$F$8</c:f>
              <c:numCache>
                <c:formatCode>General</c:formatCode>
                <c:ptCount val="1"/>
                <c:pt idx="0">
                  <c:v>144</c:v>
                </c:pt>
              </c:numCache>
            </c:numRef>
          </c:val>
        </c:ser>
        <c:ser>
          <c:idx val="5"/>
          <c:order val="5"/>
          <c:tx>
            <c:strRef>
              <c:f>'nacimientos grupo'!$G$5:$G$6</c:f>
              <c:strCache>
                <c:ptCount val="1"/>
                <c:pt idx="0">
                  <c:v>Año 2007</c:v>
                </c:pt>
              </c:strCache>
            </c:strRef>
          </c:tx>
          <c:invertIfNegative val="0"/>
          <c:cat>
            <c:strRef>
              <c:f>'nacimientos grupo'!$A$7:$A$8</c:f>
              <c:strCache>
                <c:ptCount val="1"/>
                <c:pt idx="0">
                  <c:v>ADIBAMA</c:v>
                </c:pt>
              </c:strCache>
            </c:strRef>
          </c:cat>
          <c:val>
            <c:numRef>
              <c:f>'nacimientos grupo'!$G$7:$G$8</c:f>
              <c:numCache>
                <c:formatCode>General</c:formatCode>
                <c:ptCount val="1"/>
                <c:pt idx="0">
                  <c:v>120</c:v>
                </c:pt>
              </c:numCache>
            </c:numRef>
          </c:val>
        </c:ser>
        <c:dLbls>
          <c:showLegendKey val="0"/>
          <c:showVal val="0"/>
          <c:showCatName val="0"/>
          <c:showSerName val="0"/>
          <c:showPercent val="0"/>
          <c:showBubbleSize val="0"/>
        </c:dLbls>
        <c:gapWidth val="150"/>
        <c:shape val="cylinder"/>
        <c:axId val="111094784"/>
        <c:axId val="114307584"/>
        <c:axId val="0"/>
      </c:bar3DChart>
      <c:catAx>
        <c:axId val="111094784"/>
        <c:scaling>
          <c:orientation val="minMax"/>
        </c:scaling>
        <c:delete val="0"/>
        <c:axPos val="b"/>
        <c:majorTickMark val="out"/>
        <c:minorTickMark val="none"/>
        <c:tickLblPos val="nextTo"/>
        <c:crossAx val="114307584"/>
        <c:crosses val="autoZero"/>
        <c:auto val="1"/>
        <c:lblAlgn val="ctr"/>
        <c:lblOffset val="100"/>
        <c:noMultiLvlLbl val="0"/>
      </c:catAx>
      <c:valAx>
        <c:axId val="114307584"/>
        <c:scaling>
          <c:orientation val="minMax"/>
        </c:scaling>
        <c:delete val="0"/>
        <c:axPos val="l"/>
        <c:majorGridlines/>
        <c:numFmt formatCode="General" sourceLinked="1"/>
        <c:majorTickMark val="out"/>
        <c:minorTickMark val="none"/>
        <c:tickLblPos val="nextTo"/>
        <c:crossAx val="111094784"/>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(ADIBAMA)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2992792277271961"/>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ADIBAMA</c:v>
                </c:pt>
              </c:strCache>
            </c:strRef>
          </c:cat>
          <c:val>
            <c:numRef>
              <c:f>'defunciones grupo'!$B$7:$B$8</c:f>
              <c:numCache>
                <c:formatCode>General</c:formatCode>
                <c:ptCount val="1"/>
                <c:pt idx="0">
                  <c:v>239</c:v>
                </c:pt>
              </c:numCache>
            </c:numRef>
          </c:val>
        </c:ser>
        <c:ser>
          <c:idx val="1"/>
          <c:order val="1"/>
          <c:tx>
            <c:strRef>
              <c:f>'defunciones grupo'!$C$5:$C$6</c:f>
              <c:strCache>
                <c:ptCount val="1"/>
                <c:pt idx="0">
                  <c:v>Año 2011</c:v>
                </c:pt>
              </c:strCache>
            </c:strRef>
          </c:tx>
          <c:invertIfNegative val="0"/>
          <c:cat>
            <c:strRef>
              <c:f>'defunciones grupo'!$A$7:$A$8</c:f>
              <c:strCache>
                <c:ptCount val="1"/>
                <c:pt idx="0">
                  <c:v>ADIBAMA</c:v>
                </c:pt>
              </c:strCache>
            </c:strRef>
          </c:cat>
          <c:val>
            <c:numRef>
              <c:f>'defunciones grupo'!$C$7:$C$8</c:f>
              <c:numCache>
                <c:formatCode>General</c:formatCode>
                <c:ptCount val="1"/>
                <c:pt idx="0">
                  <c:v>239</c:v>
                </c:pt>
              </c:numCache>
            </c:numRef>
          </c:val>
        </c:ser>
        <c:ser>
          <c:idx val="2"/>
          <c:order val="2"/>
          <c:tx>
            <c:strRef>
              <c:f>'defunciones grupo'!$D$5:$D$6</c:f>
              <c:strCache>
                <c:ptCount val="1"/>
                <c:pt idx="0">
                  <c:v>Año 2010</c:v>
                </c:pt>
              </c:strCache>
            </c:strRef>
          </c:tx>
          <c:invertIfNegative val="0"/>
          <c:cat>
            <c:strRef>
              <c:f>'defunciones grupo'!$A$7:$A$8</c:f>
              <c:strCache>
                <c:ptCount val="1"/>
                <c:pt idx="0">
                  <c:v>ADIBAMA</c:v>
                </c:pt>
              </c:strCache>
            </c:strRef>
          </c:cat>
          <c:val>
            <c:numRef>
              <c:f>'defunciones grupo'!$D$7:$D$8</c:f>
              <c:numCache>
                <c:formatCode>General</c:formatCode>
                <c:ptCount val="1"/>
                <c:pt idx="0">
                  <c:v>223</c:v>
                </c:pt>
              </c:numCache>
            </c:numRef>
          </c:val>
        </c:ser>
        <c:ser>
          <c:idx val="3"/>
          <c:order val="3"/>
          <c:tx>
            <c:strRef>
              <c:f>'defunciones grupo'!$E$5:$E$6</c:f>
              <c:strCache>
                <c:ptCount val="1"/>
                <c:pt idx="0">
                  <c:v>Año 2009</c:v>
                </c:pt>
              </c:strCache>
            </c:strRef>
          </c:tx>
          <c:invertIfNegative val="0"/>
          <c:cat>
            <c:strRef>
              <c:f>'defunciones grupo'!$A$7:$A$8</c:f>
              <c:strCache>
                <c:ptCount val="1"/>
                <c:pt idx="0">
                  <c:v>ADIBAMA</c:v>
                </c:pt>
              </c:strCache>
            </c:strRef>
          </c:cat>
          <c:val>
            <c:numRef>
              <c:f>'defunciones grupo'!$E$7:$E$8</c:f>
              <c:numCache>
                <c:formatCode>General</c:formatCode>
                <c:ptCount val="1"/>
                <c:pt idx="0">
                  <c:v>205</c:v>
                </c:pt>
              </c:numCache>
            </c:numRef>
          </c:val>
        </c:ser>
        <c:ser>
          <c:idx val="4"/>
          <c:order val="4"/>
          <c:tx>
            <c:strRef>
              <c:f>'defunciones grupo'!$F$5:$F$6</c:f>
              <c:strCache>
                <c:ptCount val="1"/>
                <c:pt idx="0">
                  <c:v>Año 2008</c:v>
                </c:pt>
              </c:strCache>
            </c:strRef>
          </c:tx>
          <c:invertIfNegative val="0"/>
          <c:cat>
            <c:strRef>
              <c:f>'defunciones grupo'!$A$7:$A$8</c:f>
              <c:strCache>
                <c:ptCount val="1"/>
                <c:pt idx="0">
                  <c:v>ADIBAMA</c:v>
                </c:pt>
              </c:strCache>
            </c:strRef>
          </c:cat>
          <c:val>
            <c:numRef>
              <c:f>'defunciones grupo'!$F$7:$F$8</c:f>
              <c:numCache>
                <c:formatCode>General</c:formatCode>
                <c:ptCount val="1"/>
                <c:pt idx="0">
                  <c:v>215</c:v>
                </c:pt>
              </c:numCache>
            </c:numRef>
          </c:val>
        </c:ser>
        <c:ser>
          <c:idx val="5"/>
          <c:order val="5"/>
          <c:tx>
            <c:strRef>
              <c:f>'defunciones grupo'!$G$5:$G$6</c:f>
              <c:strCache>
                <c:ptCount val="1"/>
                <c:pt idx="0">
                  <c:v>Año 2007</c:v>
                </c:pt>
              </c:strCache>
            </c:strRef>
          </c:tx>
          <c:invertIfNegative val="0"/>
          <c:cat>
            <c:strRef>
              <c:f>'defunciones grupo'!$A$7:$A$8</c:f>
              <c:strCache>
                <c:ptCount val="1"/>
                <c:pt idx="0">
                  <c:v>ADIBAMA</c:v>
                </c:pt>
              </c:strCache>
            </c:strRef>
          </c:cat>
          <c:val>
            <c:numRef>
              <c:f>'defunciones grupo'!$G$7:$G$8</c:f>
              <c:numCache>
                <c:formatCode>General</c:formatCode>
                <c:ptCount val="1"/>
                <c:pt idx="0">
                  <c:v>219</c:v>
                </c:pt>
              </c:numCache>
            </c:numRef>
          </c:val>
        </c:ser>
        <c:ser>
          <c:idx val="6"/>
          <c:order val="6"/>
          <c:tx>
            <c:strRef>
              <c:f>'defunciones grupo'!$H$5:$H$6</c:f>
              <c:strCache>
                <c:ptCount val="1"/>
                <c:pt idx="0">
                  <c:v>Año 2006</c:v>
                </c:pt>
              </c:strCache>
            </c:strRef>
          </c:tx>
          <c:invertIfNegative val="0"/>
          <c:cat>
            <c:strRef>
              <c:f>'defunciones grupo'!$A$7:$A$8</c:f>
              <c:strCache>
                <c:ptCount val="1"/>
                <c:pt idx="0">
                  <c:v>ADIBAMA</c:v>
                </c:pt>
              </c:strCache>
            </c:strRef>
          </c:cat>
          <c:val>
            <c:numRef>
              <c:f>'defunciones grupo'!$H$7:$H$8</c:f>
              <c:numCache>
                <c:formatCode>General</c:formatCode>
                <c:ptCount val="1"/>
                <c:pt idx="0">
                  <c:v>216</c:v>
                </c:pt>
              </c:numCache>
            </c:numRef>
          </c:val>
        </c:ser>
        <c:dLbls>
          <c:showLegendKey val="0"/>
          <c:showVal val="0"/>
          <c:showCatName val="0"/>
          <c:showSerName val="0"/>
          <c:showPercent val="0"/>
          <c:showBubbleSize val="0"/>
        </c:dLbls>
        <c:gapWidth val="150"/>
        <c:shape val="cylinder"/>
        <c:axId val="114011648"/>
        <c:axId val="114309312"/>
        <c:axId val="0"/>
      </c:bar3DChart>
      <c:catAx>
        <c:axId val="114011648"/>
        <c:scaling>
          <c:orientation val="minMax"/>
        </c:scaling>
        <c:delete val="0"/>
        <c:axPos val="b"/>
        <c:majorTickMark val="out"/>
        <c:minorTickMark val="none"/>
        <c:tickLblPos val="nextTo"/>
        <c:crossAx val="114309312"/>
        <c:crosses val="autoZero"/>
        <c:auto val="1"/>
        <c:lblAlgn val="ctr"/>
        <c:lblOffset val="100"/>
        <c:noMultiLvlLbl val="0"/>
      </c:catAx>
      <c:valAx>
        <c:axId val="114309312"/>
        <c:scaling>
          <c:orientation val="minMax"/>
        </c:scaling>
        <c:delete val="0"/>
        <c:axPos val="l"/>
        <c:majorGridlines/>
        <c:numFmt formatCode="General" sourceLinked="1"/>
        <c:majorTickMark val="out"/>
        <c:minorTickMark val="none"/>
        <c:tickLblPos val="nextTo"/>
        <c:crossAx val="11401164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0070147628536079E-2"/>
          <c:y val="0.11992887518970535"/>
          <c:w val="0.8941592416079569"/>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ADIBAMA</c:v>
                </c:pt>
              </c:strCache>
            </c:strRef>
          </c:cat>
          <c:val>
            <c:numRef>
              <c:f>'variación residencia grupo'!$B$7:$B$8</c:f>
              <c:numCache>
                <c:formatCode>General</c:formatCode>
                <c:ptCount val="1"/>
                <c:pt idx="0">
                  <c:v>-194</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ADIBAMA</c:v>
                </c:pt>
              </c:strCache>
            </c:strRef>
          </c:cat>
          <c:val>
            <c:numRef>
              <c:f>'variación residencia grupo'!$C$7:$C$8</c:f>
              <c:numCache>
                <c:formatCode>General</c:formatCode>
                <c:ptCount val="1"/>
                <c:pt idx="0">
                  <c:v>-69</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ADIBAMA</c:v>
                </c:pt>
              </c:strCache>
            </c:strRef>
          </c:cat>
          <c:val>
            <c:numRef>
              <c:f>'variación residencia grupo'!$D$7:$D$8</c:f>
              <c:numCache>
                <c:formatCode>General</c:formatCode>
                <c:ptCount val="1"/>
                <c:pt idx="0">
                  <c:v>-116</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ADIBAMA</c:v>
                </c:pt>
              </c:strCache>
            </c:strRef>
          </c:cat>
          <c:val>
            <c:numRef>
              <c:f>'variación residencia grupo'!$E$7:$E$8</c:f>
              <c:numCache>
                <c:formatCode>General</c:formatCode>
                <c:ptCount val="1"/>
                <c:pt idx="0">
                  <c:v>-45</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ADIBAMA</c:v>
                </c:pt>
              </c:strCache>
            </c:strRef>
          </c:cat>
          <c:val>
            <c:numRef>
              <c:f>'variación residencia grupo'!$F$7:$F$8</c:f>
              <c:numCache>
                <c:formatCode>General</c:formatCode>
                <c:ptCount val="1"/>
                <c:pt idx="0">
                  <c:v>-92</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ADIBAMA</c:v>
                </c:pt>
              </c:strCache>
            </c:strRef>
          </c:cat>
          <c:val>
            <c:numRef>
              <c:f>'variación residencia grupo'!$G$7:$G$8</c:f>
              <c:numCache>
                <c:formatCode>General</c:formatCode>
                <c:ptCount val="1"/>
                <c:pt idx="0">
                  <c:v>48</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ADIBAMA</c:v>
                </c:pt>
              </c:strCache>
            </c:strRef>
          </c:cat>
          <c:val>
            <c:numRef>
              <c:f>'variación residencia grupo'!$H$7:$H$8</c:f>
              <c:numCache>
                <c:formatCode>General</c:formatCode>
                <c:ptCount val="1"/>
                <c:pt idx="0">
                  <c:v>101</c:v>
                </c:pt>
              </c:numCache>
            </c:numRef>
          </c:val>
        </c:ser>
        <c:dLbls>
          <c:showLegendKey val="0"/>
          <c:showVal val="0"/>
          <c:showCatName val="0"/>
          <c:showSerName val="0"/>
          <c:showPercent val="0"/>
          <c:showBubbleSize val="0"/>
        </c:dLbls>
        <c:gapWidth val="150"/>
        <c:shape val="cylinder"/>
        <c:axId val="114762752"/>
        <c:axId val="114688000"/>
        <c:axId val="0"/>
      </c:bar3DChart>
      <c:catAx>
        <c:axId val="114762752"/>
        <c:scaling>
          <c:orientation val="minMax"/>
        </c:scaling>
        <c:delete val="0"/>
        <c:axPos val="b"/>
        <c:majorTickMark val="out"/>
        <c:minorTickMark val="none"/>
        <c:tickLblPos val="low"/>
        <c:crossAx val="114688000"/>
        <c:crosses val="autoZero"/>
        <c:auto val="1"/>
        <c:lblAlgn val="ctr"/>
        <c:lblOffset val="100"/>
        <c:noMultiLvlLbl val="0"/>
      </c:catAx>
      <c:valAx>
        <c:axId val="114688000"/>
        <c:scaling>
          <c:orientation val="minMax"/>
        </c:scaling>
        <c:delete val="0"/>
        <c:axPos val="l"/>
        <c:majorGridlines/>
        <c:numFmt formatCode="General" sourceLinked="1"/>
        <c:majorTickMark val="out"/>
        <c:minorTickMark val="none"/>
        <c:tickLblPos val="nextTo"/>
        <c:crossAx val="11476275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ADIBAMA</c:v>
                </c:pt>
              </c:strCache>
            </c:strRef>
          </c:cat>
          <c:val>
            <c:numRef>
              <c:f>'Tabla porcentajes 2012'!$B$9:$B$10</c:f>
              <c:numCache>
                <c:formatCode>0.0000%</c:formatCode>
                <c:ptCount val="1"/>
                <c:pt idx="0">
                  <c:v>2.3025469513763833E-2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ADIBAMA</c:v>
                </c:pt>
              </c:strCache>
            </c:strRef>
          </c:cat>
          <c:val>
            <c:numRef>
              <c:f>'Tabla porcentajes 2012'!$C$9:$C$10</c:f>
              <c:numCache>
                <c:formatCode>0.0000%</c:formatCode>
                <c:ptCount val="1"/>
                <c:pt idx="0">
                  <c:v>1.8087611869995291E-2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ADIBAMA</c:v>
                </c:pt>
              </c:strCache>
            </c:strRef>
          </c:cat>
          <c:val>
            <c:numRef>
              <c:f>'Tabla porcentajes 2012'!$D$9:$D$10</c:f>
              <c:numCache>
                <c:formatCode>0.0000%</c:formatCode>
                <c:ptCount val="1"/>
                <c:pt idx="0">
                  <c:v>1.9464720194647202E-2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ADIBAMA</c:v>
                </c:pt>
              </c:strCache>
            </c:strRef>
          </c:cat>
          <c:val>
            <c:numRef>
              <c:f>'Tabla porcentajes 2012'!$E$9:$E$10</c:f>
              <c:numCache>
                <c:formatCode>0.0000%</c:formatCode>
                <c:ptCount val="1"/>
                <c:pt idx="0">
                  <c:v>1.3559614803299216E-2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ADIBAMA</c:v>
                </c:pt>
              </c:strCache>
            </c:strRef>
          </c:cat>
          <c:val>
            <c:numRef>
              <c:f>'Tabla porcentajes 2012'!$F$9:$F$10</c:f>
              <c:numCache>
                <c:formatCode>0.0000%</c:formatCode>
                <c:ptCount val="1"/>
                <c:pt idx="0">
                  <c:v>1.0298685593695907E-2</c:v>
                </c:pt>
              </c:numCache>
            </c:numRef>
          </c:val>
        </c:ser>
        <c:dLbls>
          <c:showLegendKey val="0"/>
          <c:showVal val="0"/>
          <c:showCatName val="0"/>
          <c:showSerName val="0"/>
          <c:showPercent val="0"/>
          <c:showBubbleSize val="0"/>
        </c:dLbls>
        <c:gapWidth val="150"/>
        <c:shape val="box"/>
        <c:axId val="114763264"/>
        <c:axId val="114689728"/>
        <c:axId val="0"/>
      </c:bar3DChart>
      <c:catAx>
        <c:axId val="114763264"/>
        <c:scaling>
          <c:orientation val="minMax"/>
        </c:scaling>
        <c:delete val="0"/>
        <c:axPos val="b"/>
        <c:majorTickMark val="out"/>
        <c:minorTickMark val="none"/>
        <c:tickLblPos val="nextTo"/>
        <c:crossAx val="114689728"/>
        <c:crosses val="autoZero"/>
        <c:auto val="1"/>
        <c:lblAlgn val="ctr"/>
        <c:lblOffset val="100"/>
        <c:noMultiLvlLbl val="0"/>
      </c:catAx>
      <c:valAx>
        <c:axId val="114689728"/>
        <c:scaling>
          <c:orientation val="minMax"/>
          <c:min val="0"/>
        </c:scaling>
        <c:delete val="0"/>
        <c:axPos val="l"/>
        <c:majorGridlines/>
        <c:numFmt formatCode="0.00%" sourceLinked="0"/>
        <c:majorTickMark val="out"/>
        <c:minorTickMark val="none"/>
        <c:tickLblPos val="nextTo"/>
        <c:crossAx val="114763264"/>
        <c:crosses val="autoZero"/>
        <c:crossBetween val="between"/>
      </c:valAx>
    </c:plotArea>
    <c:legend>
      <c:legendPos val="b"/>
      <c:layout>
        <c:manualLayout>
          <c:xMode val="edge"/>
          <c:yMode val="edge"/>
          <c:x val="0.7196151056775798"/>
          <c:y val="5.0286389982502185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ADIBAMA</c:v>
                </c:pt>
              </c:strCache>
            </c:strRef>
          </c:cat>
          <c:val>
            <c:numRef>
              <c:f>'Tabla evolucion 2012-2011'!$B$9</c:f>
              <c:numCache>
                <c:formatCode>General</c:formatCode>
                <c:ptCount val="1"/>
                <c:pt idx="0">
                  <c:v>-4</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ADIBAMA</c:v>
                </c:pt>
              </c:strCache>
            </c:strRef>
          </c:cat>
          <c:val>
            <c:numRef>
              <c:f>'Tabla evolucion 2012-2011'!$C$9</c:f>
              <c:numCache>
                <c:formatCode>General</c:formatCode>
                <c:ptCount val="1"/>
                <c:pt idx="0">
                  <c:v>-9</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ADIBAMA</c:v>
                </c:pt>
              </c:strCache>
            </c:strRef>
          </c:cat>
          <c:val>
            <c:numRef>
              <c:f>'Tabla evolucion 2012-2011'!$D$9</c:f>
              <c:numCache>
                <c:formatCode>General</c:formatCode>
                <c:ptCount val="1"/>
                <c:pt idx="0">
                  <c:v>-26</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ADIBAMA</c:v>
                </c:pt>
              </c:strCache>
            </c:strRef>
          </c:cat>
          <c:val>
            <c:numRef>
              <c:f>'Tabla evolucion 2012-2011'!$E$9</c:f>
              <c:numCache>
                <c:formatCode>General</c:formatCode>
                <c:ptCount val="1"/>
                <c:pt idx="0">
                  <c:v>-57</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ADIBAMA</c:v>
                </c:pt>
              </c:strCache>
            </c:strRef>
          </c:cat>
          <c:val>
            <c:numRef>
              <c:f>'Tabla evolucion 2012-2011'!$F$9</c:f>
              <c:numCache>
                <c:formatCode>General</c:formatCode>
                <c:ptCount val="1"/>
                <c:pt idx="0">
                  <c:v>-63</c:v>
                </c:pt>
              </c:numCache>
            </c:numRef>
          </c:val>
        </c:ser>
        <c:dLbls>
          <c:showLegendKey val="0"/>
          <c:showVal val="0"/>
          <c:showCatName val="0"/>
          <c:showSerName val="0"/>
          <c:showPercent val="0"/>
          <c:showBubbleSize val="0"/>
        </c:dLbls>
        <c:gapWidth val="150"/>
        <c:shape val="box"/>
        <c:axId val="114764288"/>
        <c:axId val="114691456"/>
        <c:axId val="0"/>
      </c:bar3DChart>
      <c:catAx>
        <c:axId val="114764288"/>
        <c:scaling>
          <c:orientation val="minMax"/>
        </c:scaling>
        <c:delete val="0"/>
        <c:axPos val="b"/>
        <c:majorTickMark val="out"/>
        <c:minorTickMark val="none"/>
        <c:tickLblPos val="low"/>
        <c:crossAx val="114691456"/>
        <c:crosses val="autoZero"/>
        <c:auto val="1"/>
        <c:lblAlgn val="ctr"/>
        <c:lblOffset val="100"/>
        <c:noMultiLvlLbl val="0"/>
      </c:catAx>
      <c:valAx>
        <c:axId val="114691456"/>
        <c:scaling>
          <c:orientation val="minMax"/>
        </c:scaling>
        <c:delete val="0"/>
        <c:axPos val="l"/>
        <c:majorGridlines/>
        <c:numFmt formatCode="General" sourceLinked="1"/>
        <c:majorTickMark val="out"/>
        <c:minorTickMark val="none"/>
        <c:tickLblPos val="nextTo"/>
        <c:crossAx val="114764288"/>
        <c:crosses val="autoZero"/>
        <c:crossBetween val="between"/>
      </c:valAx>
    </c:plotArea>
    <c:legend>
      <c:legendPos val="b"/>
      <c:layout>
        <c:manualLayout>
          <c:xMode val="edge"/>
          <c:yMode val="edge"/>
          <c:x val="0.74027847670356994"/>
          <c:y val="8.8207387437739385E-2"/>
          <c:w val="0.23238753787008984"/>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1470,26km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a:t>12,16</a:t>
          </a:r>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8D2CE6E1-B649-452C-9B4A-F7038023CBE8}" type="presOf" srcId="{F52A5D61-5B52-41D6-82AD-1AB126421323}" destId="{53641B60-3D2A-48DF-8978-B44702B50950}"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8F1ADF12-EF2E-4474-8E42-133C36AB61FA}" type="presOf" srcId="{F52A5D61-5B52-41D6-82AD-1AB126421323}" destId="{A37BC357-048C-4C8A-9C7C-39AAB06E79AE}" srcOrd="1" destOrd="0" presId="urn:microsoft.com/office/officeart/2005/8/layout/hList9"/>
    <dgm:cxn modelId="{0EB15E80-B3B9-44B7-A819-C726812886E4}" type="presOf" srcId="{DC8F0761-D699-4726-9FCA-759596682644}" destId="{7E56BCF3-9CB5-4F8B-BE2F-0C63200680D4}" srcOrd="0" destOrd="0" presId="urn:microsoft.com/office/officeart/2005/8/layout/hList9"/>
    <dgm:cxn modelId="{B4D7B75F-EEBF-465C-98A1-5D3AB422E8F3}" srcId="{18A8730F-81C8-4E32-8AFC-F641D9564C32}" destId="{5A345620-AAE9-43AC-BFA5-7DCF838F6E6A}" srcOrd="0" destOrd="0" parTransId="{E6081994-E4C2-4952-BBDE-14351334798F}" sibTransId="{0DB3948C-1A0B-476A-81D8-3AAF2857D4B8}"/>
    <dgm:cxn modelId="{EA870C93-2570-45F3-916F-CDD3AFD80254}" srcId="{18A8730F-81C8-4E32-8AFC-F641D9564C32}" destId="{8A25AA0E-05A3-48A4-9066-D86732F11EE6}" srcOrd="1" destOrd="0" parTransId="{2FE431C9-9F72-4EB8-9D87-44F37525555A}" sibTransId="{5232FD1E-CF5B-454C-B2DE-787AB9121A2B}"/>
    <dgm:cxn modelId="{81D102CB-D0C9-447D-8F3B-029DDA836CBC}" type="presOf" srcId="{18A8730F-81C8-4E32-8AFC-F641D9564C32}" destId="{E62352AE-7A92-409B-A693-FF5F5F371E72}" srcOrd="0" destOrd="0" presId="urn:microsoft.com/office/officeart/2005/8/layout/hList9"/>
    <dgm:cxn modelId="{9CCF0B32-3E8D-4278-89CD-66C46692865E}" type="presOf" srcId="{5A345620-AAE9-43AC-BFA5-7DCF838F6E6A}" destId="{BF6713A8-036E-43D7-9142-70FA401CC8E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7F95837A-FE08-49C4-BD6E-B6B9A37D2274}" type="presOf" srcId="{DC8F0761-D699-4726-9FCA-759596682644}" destId="{DACECD24-1E16-43E4-80BE-26CFAFDBDD5C}" srcOrd="1" destOrd="0" presId="urn:microsoft.com/office/officeart/2005/8/layout/hList9"/>
    <dgm:cxn modelId="{C0705117-46E2-47CB-BF8D-151DEB76DE2F}" type="presOf" srcId="{8A25AA0E-05A3-48A4-9066-D86732F11EE6}" destId="{575C1222-BBA2-426D-9CA7-C61006236803}" srcOrd="0" destOrd="0" presId="urn:microsoft.com/office/officeart/2005/8/layout/hList9"/>
    <dgm:cxn modelId="{A9E6F91D-BF23-44DA-B44F-B06C9F40359C}" type="presParOf" srcId="{E62352AE-7A92-409B-A693-FF5F5F371E72}" destId="{601C966D-3AF6-4118-B620-1E3EFBE740C9}" srcOrd="0" destOrd="0" presId="urn:microsoft.com/office/officeart/2005/8/layout/hList9"/>
    <dgm:cxn modelId="{C6D98222-9ADA-4B50-A959-0705F7FF9363}" type="presParOf" srcId="{E62352AE-7A92-409B-A693-FF5F5F371E72}" destId="{F36D099F-EEB4-4F98-872E-B1D06C65E133}" srcOrd="1" destOrd="0" presId="urn:microsoft.com/office/officeart/2005/8/layout/hList9"/>
    <dgm:cxn modelId="{F70A0D5B-CA95-4E37-B968-7CC822BC76CC}" type="presParOf" srcId="{F36D099F-EEB4-4F98-872E-B1D06C65E133}" destId="{DB5C4403-791E-4B02-859B-EC3F5B33D810}" srcOrd="0" destOrd="0" presId="urn:microsoft.com/office/officeart/2005/8/layout/hList9"/>
    <dgm:cxn modelId="{3058433E-F11C-4645-ACC1-A73EE314C35E}" type="presParOf" srcId="{F36D099F-EEB4-4F98-872E-B1D06C65E133}" destId="{8F52367C-0189-4D38-8029-7D76FCD93C77}" srcOrd="1" destOrd="0" presId="urn:microsoft.com/office/officeart/2005/8/layout/hList9"/>
    <dgm:cxn modelId="{C6912621-F0BF-4F8A-BB3C-D2B609527D98}" type="presParOf" srcId="{8F52367C-0189-4D38-8029-7D76FCD93C77}" destId="{7E56BCF3-9CB5-4F8B-BE2F-0C63200680D4}" srcOrd="0" destOrd="0" presId="urn:microsoft.com/office/officeart/2005/8/layout/hList9"/>
    <dgm:cxn modelId="{50A84C6C-1C42-4191-96B7-C2974B089A63}" type="presParOf" srcId="{8F52367C-0189-4D38-8029-7D76FCD93C77}" destId="{DACECD24-1E16-43E4-80BE-26CFAFDBDD5C}" srcOrd="1" destOrd="0" presId="urn:microsoft.com/office/officeart/2005/8/layout/hList9"/>
    <dgm:cxn modelId="{43A71D5D-842A-42C9-98AC-CF569D40B654}" type="presParOf" srcId="{E62352AE-7A92-409B-A693-FF5F5F371E72}" destId="{5246FFAB-65CC-4258-8CBF-5E13D423474C}" srcOrd="2" destOrd="0" presId="urn:microsoft.com/office/officeart/2005/8/layout/hList9"/>
    <dgm:cxn modelId="{A0DC0446-B28F-467F-8CAE-4FD4DB8CD242}" type="presParOf" srcId="{E62352AE-7A92-409B-A693-FF5F5F371E72}" destId="{BF6713A8-036E-43D7-9142-70FA401CC8E0}" srcOrd="3" destOrd="0" presId="urn:microsoft.com/office/officeart/2005/8/layout/hList9"/>
    <dgm:cxn modelId="{065D32F6-8CB6-4D42-9156-5CE24B24C1BB}" type="presParOf" srcId="{E62352AE-7A92-409B-A693-FF5F5F371E72}" destId="{FB6E445D-BFE8-4AE0-9399-C0EECE766FC0}" srcOrd="4" destOrd="0" presId="urn:microsoft.com/office/officeart/2005/8/layout/hList9"/>
    <dgm:cxn modelId="{80434581-BCE0-4F1D-8BDD-91DC18CB0831}" type="presParOf" srcId="{E62352AE-7A92-409B-A693-FF5F5F371E72}" destId="{99EAC4E4-9F15-4285-B02D-55B2D929CDCE}" srcOrd="5" destOrd="0" presId="urn:microsoft.com/office/officeart/2005/8/layout/hList9"/>
    <dgm:cxn modelId="{65CAE127-3987-4C35-8E8E-C4DA18B10B08}" type="presParOf" srcId="{E62352AE-7A92-409B-A693-FF5F5F371E72}" destId="{C29BD979-117A-4098-82FD-CF9E1B668D9D}" srcOrd="6" destOrd="0" presId="urn:microsoft.com/office/officeart/2005/8/layout/hList9"/>
    <dgm:cxn modelId="{B1ADC80B-B251-4BE0-9573-DEA13599555F}" type="presParOf" srcId="{C29BD979-117A-4098-82FD-CF9E1B668D9D}" destId="{A6CEB835-8B0C-4E1D-9DF6-36136D68911F}" srcOrd="0" destOrd="0" presId="urn:microsoft.com/office/officeart/2005/8/layout/hList9"/>
    <dgm:cxn modelId="{0C9F6DA7-0775-4D05-8003-E05EA7061ACA}" type="presParOf" srcId="{C29BD979-117A-4098-82FD-CF9E1B668D9D}" destId="{43FC3AB4-C3DD-4D28-BDA2-12470C5C44D6}" srcOrd="1" destOrd="0" presId="urn:microsoft.com/office/officeart/2005/8/layout/hList9"/>
    <dgm:cxn modelId="{3B4C5659-2AAD-423D-B407-8E0D6692C9FB}" type="presParOf" srcId="{43FC3AB4-C3DD-4D28-BDA2-12470C5C44D6}" destId="{53641B60-3D2A-48DF-8978-B44702B50950}" srcOrd="0" destOrd="0" presId="urn:microsoft.com/office/officeart/2005/8/layout/hList9"/>
    <dgm:cxn modelId="{F1CF978E-C806-4C0B-A1FC-C0D19C8A9C99}" type="presParOf" srcId="{43FC3AB4-C3DD-4D28-BDA2-12470C5C44D6}" destId="{A37BC357-048C-4C8A-9C7C-39AAB06E79AE}" srcOrd="1" destOrd="0" presId="urn:microsoft.com/office/officeart/2005/8/layout/hList9"/>
    <dgm:cxn modelId="{E404F317-7884-4403-82AC-20003A4AA7C2}" type="presParOf" srcId="{E62352AE-7A92-409B-A693-FF5F5F371E72}" destId="{8196E043-9A47-465E-9AB6-9778260CB821}" srcOrd="7" destOrd="0" presId="urn:microsoft.com/office/officeart/2005/8/layout/hList9"/>
    <dgm:cxn modelId="{DD4FAE60-5D15-4CE7-B1E5-0E7A800C3CA4}"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1470,26km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kern="1200"/>
            <a:t>12,16</a:t>
          </a:r>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C916A7-0158-47EC-B9DA-113049A8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24</Pages>
  <Words>1759</Words>
  <Characters>9676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Caracterización territorial del Grupo de Acción Local         (ADIBAMA)</vt:lpstr>
    </vt:vector>
  </TitlesOfParts>
  <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del Bajo Martín-Sierra de Arcos. Asociación para el Desarrollo Integral del Bajo Martín y Andorra-Sierra de Arcos (Adibama)</dc:title>
  <dc:subject/>
  <dc:creator>miriam escorza torrijos</dc:creator>
  <cp:keywords/>
  <dc:description/>
  <cp:lastModifiedBy>miriam escorza torrijos</cp:lastModifiedBy>
  <cp:revision>87</cp:revision>
  <dcterms:created xsi:type="dcterms:W3CDTF">2014-12-16T11:01:00Z</dcterms:created>
  <dcterms:modified xsi:type="dcterms:W3CDTF">2015-02-19T11:27:00Z</dcterms:modified>
</cp:coreProperties>
</file>