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DA6CCE">
          <w:pPr>
            <w:jc w:val="both"/>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6F577AE1" wp14:editId="0A120DFE">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FA17CC">
            <w:rPr>
              <w:color w:val="000000" w:themeColor="text1"/>
              <w:sz w:val="28"/>
              <w:szCs w:val="28"/>
            </w:rPr>
            <w:t>Febrero 2015</w:t>
          </w:r>
        </w:p>
        <w:p w:rsidR="005047FE" w:rsidRPr="005047FE" w:rsidRDefault="005047FE" w:rsidP="00DA6CCE">
          <w:pPr>
            <w:jc w:val="both"/>
            <w:rPr>
              <w:b/>
              <w:color w:val="FFFFFF" w:themeColor="background1"/>
              <w:sz w:val="32"/>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71AF6D50" wp14:editId="72017E0F">
                    <wp:simplePos x="0" y="0"/>
                    <wp:positionH relativeFrom="column">
                      <wp:posOffset>-701738</wp:posOffset>
                    </wp:positionH>
                    <wp:positionV relativeFrom="paragraph">
                      <wp:posOffset>91440</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1AB4" w:rsidRDefault="005C1AB4" w:rsidP="005C1A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left:0;text-align:left;margin-left:-55.25pt;margin-top:7.2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" fillcolor="#5f497a [2407]" stroked="f" strokeweight="2pt">
                    <v:textbox>
                      <w:txbxContent>
                        <w:p w:rsidR="005C1AB4" w:rsidRDefault="005C1AB4" w:rsidP="005C1AB4">
                          <w:pPr>
                            <w:jc w:val="center"/>
                          </w:pPr>
                        </w:p>
                      </w:txbxContent>
                    </v:textbox>
                  </v:rect>
                </w:pict>
              </mc:Fallback>
            </mc:AlternateContent>
          </w:r>
        </w:p>
        <w:sdt>
          <w:sdtPr>
            <w:rPr>
              <w:b/>
              <w:color w:val="FFFFFF" w:themeColor="background1"/>
              <w:sz w:val="32"/>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p w:rsidR="005047FE" w:rsidRPr="005C1AB4" w:rsidRDefault="005C1AB4" w:rsidP="00F36D27">
              <w:pPr>
                <w:jc w:val="center"/>
                <w:rPr>
                  <w:b/>
                  <w:color w:val="FFFFFF" w:themeColor="background1"/>
                  <w:sz w:val="44"/>
                  <w:szCs w:val="32"/>
                </w:rPr>
              </w:pPr>
              <w:r w:rsidRPr="005C1AB4">
                <w:rPr>
                  <w:b/>
                  <w:color w:val="FFFFFF" w:themeColor="background1"/>
                  <w:sz w:val="32"/>
                </w:rPr>
                <w:t>Caracterización territorial de Comarca de Teruel. Asociación para el Desarrollo Rural e Integral de la Comarca de Teruel (</w:t>
              </w:r>
              <w:proofErr w:type="spellStart"/>
              <w:r w:rsidRPr="005C1AB4">
                <w:rPr>
                  <w:b/>
                  <w:color w:val="FFFFFF" w:themeColor="background1"/>
                  <w:sz w:val="32"/>
                </w:rPr>
                <w:t>Adricte</w:t>
              </w:r>
              <w:proofErr w:type="spellEnd"/>
              <w:r w:rsidRPr="005C1AB4">
                <w:rPr>
                  <w:b/>
                  <w:color w:val="FFFFFF" w:themeColor="background1"/>
                  <w:sz w:val="32"/>
                </w:rPr>
                <w:t>)</w:t>
              </w:r>
            </w:p>
          </w:sdtContent>
        </w:sdt>
        <w:p w:rsidR="005047FE" w:rsidRDefault="005047FE" w:rsidP="00DA6CCE">
          <w:pPr>
            <w:jc w:val="both"/>
            <w:rPr>
              <w:b/>
              <w:color w:val="000000" w:themeColor="text1"/>
              <w:sz w:val="32"/>
              <w:szCs w:val="32"/>
            </w:rPr>
          </w:pPr>
        </w:p>
        <w:p w:rsidR="005047FE" w:rsidRPr="005047FE" w:rsidRDefault="008F1315" w:rsidP="008F1315">
          <w:pPr>
            <w:tabs>
              <w:tab w:val="left" w:pos="1984"/>
            </w:tabs>
            <w:jc w:val="both"/>
            <w:rPr>
              <w:b/>
              <w:color w:val="000000" w:themeColor="text1"/>
              <w:sz w:val="32"/>
              <w:szCs w:val="32"/>
            </w:rPr>
          </w:pPr>
          <w:r>
            <w:rPr>
              <w:b/>
              <w:color w:val="000000" w:themeColor="text1"/>
              <w:sz w:val="32"/>
              <w:szCs w:val="32"/>
            </w:rPr>
            <w:tab/>
          </w:r>
        </w:p>
        <w:p w:rsidR="005047FE" w:rsidRDefault="005047FE" w:rsidP="00DA6CCE">
          <w:pPr>
            <w:jc w:val="both"/>
            <w:rPr>
              <w:noProof/>
              <w:lang w:eastAsia="es-ES"/>
            </w:rPr>
          </w:pPr>
        </w:p>
        <w:p w:rsidR="005B7974" w:rsidRDefault="005C1AB4" w:rsidP="005C1AB4">
          <w:pPr>
            <w:tabs>
              <w:tab w:val="left" w:pos="5320"/>
            </w:tabs>
            <w:jc w:val="center"/>
            <w:rPr>
              <w:noProof/>
              <w:lang w:eastAsia="es-ES"/>
            </w:rPr>
          </w:pPr>
          <w:r>
            <w:rPr>
              <w:noProof/>
              <w:lang w:eastAsia="es-ES"/>
            </w:rPr>
            <w:drawing>
              <wp:inline distT="0" distB="0" distL="0" distR="0" wp14:anchorId="3E4E0A26" wp14:editId="52E821A8">
                <wp:extent cx="4363914" cy="5522941"/>
                <wp:effectExtent l="0" t="0" r="0" b="1905"/>
                <wp:docPr id="8" name="Imagen 8" descr="bajo-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jo-mart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5968" cy="5525540"/>
                        </a:xfrm>
                        <a:prstGeom prst="rect">
                          <a:avLst/>
                        </a:prstGeom>
                        <a:noFill/>
                        <a:ln>
                          <a:noFill/>
                        </a:ln>
                      </pic:spPr>
                    </pic:pic>
                  </a:graphicData>
                </a:graphic>
              </wp:inline>
            </w:drawing>
          </w:r>
        </w:p>
        <w:p w:rsidR="005B7974" w:rsidRDefault="005B7974" w:rsidP="00DA6CCE">
          <w:pPr>
            <w:jc w:val="both"/>
            <w:rPr>
              <w:noProof/>
              <w:lang w:eastAsia="es-ES"/>
            </w:rPr>
          </w:pPr>
        </w:p>
        <w:tbl>
          <w:tblPr>
            <w:tblpPr w:leftFromText="187" w:rightFromText="187" w:vertAnchor="page" w:horzAnchor="margin" w:tblpY="15141"/>
            <w:tblOverlap w:val="never"/>
            <w:tblW w:w="0" w:type="auto"/>
            <w:tblLook w:val="04A0" w:firstRow="1" w:lastRow="0" w:firstColumn="1" w:lastColumn="0" w:noHBand="0" w:noVBand="1"/>
          </w:tblPr>
          <w:tblGrid>
            <w:gridCol w:w="8720"/>
          </w:tblGrid>
          <w:tr w:rsidR="005C1AB4" w:rsidTr="005C1AB4">
            <w:trPr>
              <w:trHeight w:val="360"/>
            </w:trPr>
            <w:tc>
              <w:tcPr>
                <w:tcW w:w="8720" w:type="dxa"/>
              </w:tcPr>
              <w:p w:rsidR="005C1AB4" w:rsidRPr="005047FE" w:rsidRDefault="005C1AB4" w:rsidP="005C1AB4">
                <w:pPr>
                  <w:pStyle w:val="Sinespaciado"/>
                  <w:jc w:val="both"/>
                  <w:rPr>
                    <w:b/>
                    <w:color w:val="000000" w:themeColor="text1"/>
                    <w:sz w:val="32"/>
                    <w:szCs w:val="32"/>
                  </w:rPr>
                </w:pPr>
                <w:r w:rsidRPr="005047FE">
                  <w:rPr>
                    <w:b/>
                    <w:color w:val="000000" w:themeColor="text1"/>
                    <w:sz w:val="32"/>
                    <w:szCs w:val="32"/>
                  </w:rPr>
                  <w:t>RADR</w:t>
                </w:r>
              </w:p>
            </w:tc>
          </w:tr>
        </w:tbl>
        <w:p w:rsidR="00974B32" w:rsidRDefault="00974B32" w:rsidP="00DA6CCE">
          <w:pPr>
            <w:jc w:val="both"/>
            <w:rPr>
              <w:noProof/>
              <w:lang w:eastAsia="es-ES"/>
            </w:rPr>
          </w:pPr>
        </w:p>
        <w:p w:rsidR="00425194" w:rsidRDefault="008F1315" w:rsidP="00DA6CCE">
          <w:pPr>
            <w:jc w:val="both"/>
            <w:rPr>
              <w:noProof/>
              <w:lang w:eastAsia="es-ES"/>
            </w:rPr>
          </w:pPr>
          <w:r>
            <w:rPr>
              <w:noProof/>
              <w:lang w:eastAsia="es-ES"/>
            </w:rPr>
            <mc:AlternateContent>
              <mc:Choice Requires="wps">
                <w:drawing>
                  <wp:anchor distT="0" distB="0" distL="114300" distR="114300" simplePos="0" relativeHeight="251661312" behindDoc="0" locked="0" layoutInCell="1" allowOverlap="1" wp14:anchorId="2E5FF94F" wp14:editId="32EC05EB">
                    <wp:simplePos x="0" y="0"/>
                    <wp:positionH relativeFrom="column">
                      <wp:posOffset>-198755</wp:posOffset>
                    </wp:positionH>
                    <wp:positionV relativeFrom="paragraph">
                      <wp:posOffset>-38100</wp:posOffset>
                    </wp:positionV>
                    <wp:extent cx="1615440" cy="426720"/>
                    <wp:effectExtent l="76200" t="38100" r="99060" b="106680"/>
                    <wp:wrapNone/>
                    <wp:docPr id="4" name="4 Rectángulo redondeado"/>
                    <wp:cNvGraphicFramePr/>
                    <a:graphic xmlns:a="http://schemas.openxmlformats.org/drawingml/2006/main">
                      <a:graphicData uri="http://schemas.microsoft.com/office/word/2010/wordprocessingShape">
                        <wps:wsp>
                          <wps:cNvSpPr/>
                          <wps:spPr>
                            <a:xfrm>
                              <a:off x="0" y="0"/>
                              <a:ext cx="1615440" cy="42672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7" style="position:absolute;left:0;text-align:left;margin-left:-15.65pt;margin-top:-3pt;width:127.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" fillcolor="#5f497a [2407]" stroked="f" strokeweight=".25pt">
                    <v:shadow on="t" color="black" opacity="20971f" offset="0,2.2pt"/>
                    <v:textbo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v:textbox>
                  </v:roundrect>
                </w:pict>
              </mc:Fallback>
            </mc:AlternateContent>
          </w:r>
        </w:p>
        <w:p w:rsidR="008F1315" w:rsidRDefault="008F1315" w:rsidP="00DA6CCE">
          <w:pPr>
            <w:jc w:val="both"/>
            <w:rPr>
              <w:noProof/>
              <w:lang w:eastAsia="es-ES"/>
            </w:rPr>
          </w:pPr>
        </w:p>
        <w:p w:rsidR="00F34F01" w:rsidRDefault="00425194" w:rsidP="00DA6CCE">
          <w:pPr>
            <w:jc w:val="both"/>
            <w:rPr>
              <w:noProof/>
              <w:lang w:eastAsia="es-ES"/>
            </w:rPr>
          </w:pPr>
          <w:r>
            <w:rPr>
              <w:noProof/>
              <w:lang w:eastAsia="es-ES"/>
            </w:rPr>
            <w:drawing>
              <wp:inline distT="0" distB="0" distL="0" distR="0" wp14:anchorId="23ABE762" wp14:editId="14D85A5E">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bl>
          <w:tblPr>
            <w:tblStyle w:val="Sombreadomedio1-nfasis4"/>
            <w:tblW w:w="8429" w:type="dxa"/>
            <w:jc w:val="center"/>
            <w:tblLook w:val="04A0" w:firstRow="1" w:lastRow="0" w:firstColumn="1" w:lastColumn="0" w:noHBand="0" w:noVBand="1"/>
          </w:tblPr>
          <w:tblGrid>
            <w:gridCol w:w="2817"/>
            <w:gridCol w:w="1613"/>
            <w:gridCol w:w="1363"/>
            <w:gridCol w:w="1272"/>
            <w:gridCol w:w="1364"/>
          </w:tblGrid>
          <w:tr w:rsidR="005B7974" w:rsidRPr="005B7974" w:rsidTr="005B7974">
            <w:trPr>
              <w:cnfStyle w:val="100000000000" w:firstRow="1" w:lastRow="0" w:firstColumn="0" w:lastColumn="0" w:oddVBand="0" w:evenVBand="0" w:oddHBand="0"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817" w:type="dxa"/>
                <w:noWrap/>
                <w:hideMark/>
              </w:tcPr>
              <w:p w:rsidR="005B7974" w:rsidRPr="005B7974" w:rsidRDefault="005B7974" w:rsidP="005B7974">
                <w:pPr>
                  <w:jc w:val="center"/>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GRUPO</w:t>
                </w:r>
              </w:p>
            </w:tc>
            <w:tc>
              <w:tcPr>
                <w:tcW w:w="1613" w:type="dxa"/>
                <w:noWrap/>
                <w:hideMark/>
              </w:tcPr>
              <w:p w:rsidR="005B7974" w:rsidRPr="005B7974" w:rsidRDefault="005B7974" w:rsidP="005B797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ADRICTE</w:t>
                </w:r>
              </w:p>
            </w:tc>
            <w:tc>
              <w:tcPr>
                <w:tcW w:w="1363" w:type="dxa"/>
                <w:noWrap/>
                <w:hideMark/>
              </w:tcPr>
              <w:p w:rsidR="005B7974" w:rsidRPr="005B7974" w:rsidRDefault="005B7974" w:rsidP="005B797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c>
              <w:tcPr>
                <w:tcW w:w="1272" w:type="dxa"/>
                <w:noWrap/>
                <w:hideMark/>
              </w:tcPr>
              <w:p w:rsidR="005B7974" w:rsidRPr="005B7974" w:rsidRDefault="005B7974" w:rsidP="005B797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c>
              <w:tcPr>
                <w:tcW w:w="1363" w:type="dxa"/>
                <w:noWrap/>
                <w:hideMark/>
              </w:tcPr>
              <w:p w:rsidR="005B7974" w:rsidRPr="005B7974" w:rsidRDefault="005B7974" w:rsidP="005B797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r>
          <w:tr w:rsidR="005B7974" w:rsidRPr="005B7974" w:rsidTr="005B7974">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817" w:type="dxa"/>
                <w:vMerge w:val="restart"/>
                <w:hideMark/>
              </w:tcPr>
              <w:p w:rsidR="005B7974" w:rsidRPr="005B7974" w:rsidRDefault="005B7974" w:rsidP="005B7974">
                <w:pPr>
                  <w:jc w:val="center"/>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Clasificación zona</w:t>
                </w:r>
              </w:p>
            </w:tc>
            <w:tc>
              <w:tcPr>
                <w:tcW w:w="2976" w:type="dxa"/>
                <w:gridSpan w:val="2"/>
                <w:noWrap/>
                <w:hideMark/>
              </w:tcPr>
              <w:p w:rsidR="005B7974" w:rsidRPr="005B7974" w:rsidRDefault="005B7974" w:rsidP="005B797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5B7974">
                  <w:rPr>
                    <w:rFonts w:ascii="Calibri" w:eastAsia="Times New Roman" w:hAnsi="Calibri" w:cs="Times New Roman"/>
                    <w:b/>
                    <w:bCs/>
                    <w:sz w:val="20"/>
                    <w:szCs w:val="20"/>
                    <w:lang w:eastAsia="es-ES"/>
                  </w:rPr>
                  <w:t>Población</w:t>
                </w:r>
              </w:p>
            </w:tc>
            <w:tc>
              <w:tcPr>
                <w:tcW w:w="2636" w:type="dxa"/>
                <w:gridSpan w:val="2"/>
                <w:noWrap/>
                <w:hideMark/>
              </w:tcPr>
              <w:p w:rsidR="005B7974" w:rsidRPr="005B7974" w:rsidRDefault="005B7974" w:rsidP="005B797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5B7974">
                  <w:rPr>
                    <w:rFonts w:ascii="Calibri" w:eastAsia="Times New Roman" w:hAnsi="Calibri" w:cs="Times New Roman"/>
                    <w:b/>
                    <w:bCs/>
                    <w:sz w:val="20"/>
                    <w:szCs w:val="20"/>
                    <w:lang w:eastAsia="es-ES"/>
                  </w:rPr>
                  <w:t>Localidades</w:t>
                </w:r>
              </w:p>
            </w:tc>
          </w:tr>
          <w:tr w:rsidR="005B7974" w:rsidRPr="005B7974" w:rsidTr="005B7974">
            <w:trPr>
              <w:cnfStyle w:val="000000010000" w:firstRow="0" w:lastRow="0" w:firstColumn="0" w:lastColumn="0" w:oddVBand="0" w:evenVBand="0" w:oddHBand="0" w:evenHBand="1"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817" w:type="dxa"/>
                <w:vMerge/>
                <w:hideMark/>
              </w:tcPr>
              <w:p w:rsidR="005B7974" w:rsidRPr="005B7974" w:rsidRDefault="005B7974" w:rsidP="005B7974">
                <w:pPr>
                  <w:rPr>
                    <w:rFonts w:ascii="Calibri" w:eastAsia="Times New Roman" w:hAnsi="Calibri" w:cs="Times New Roman"/>
                    <w:sz w:val="20"/>
                    <w:szCs w:val="20"/>
                    <w:lang w:eastAsia="es-ES"/>
                  </w:rPr>
                </w:pPr>
              </w:p>
            </w:tc>
            <w:tc>
              <w:tcPr>
                <w:tcW w:w="1613" w:type="dxa"/>
                <w:noWrap/>
                <w:hideMark/>
              </w:tcPr>
              <w:p w:rsidR="005B7974" w:rsidRPr="005B7974" w:rsidRDefault="005B7974" w:rsidP="005B797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5B7974">
                  <w:rPr>
                    <w:rFonts w:ascii="Calibri" w:eastAsia="Times New Roman" w:hAnsi="Calibri" w:cs="Times New Roman"/>
                    <w:b/>
                    <w:bCs/>
                    <w:sz w:val="20"/>
                    <w:szCs w:val="20"/>
                    <w:lang w:eastAsia="es-ES"/>
                  </w:rPr>
                  <w:t>Nº</w:t>
                </w:r>
              </w:p>
            </w:tc>
            <w:tc>
              <w:tcPr>
                <w:tcW w:w="1363" w:type="dxa"/>
                <w:noWrap/>
                <w:hideMark/>
              </w:tcPr>
              <w:p w:rsidR="005B7974" w:rsidRPr="005B7974" w:rsidRDefault="005B7974" w:rsidP="005B797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5B7974">
                  <w:rPr>
                    <w:rFonts w:ascii="Calibri" w:eastAsia="Times New Roman" w:hAnsi="Calibri" w:cs="Times New Roman"/>
                    <w:b/>
                    <w:bCs/>
                    <w:sz w:val="20"/>
                    <w:szCs w:val="20"/>
                    <w:lang w:eastAsia="es-ES"/>
                  </w:rPr>
                  <w:t>%</w:t>
                </w:r>
              </w:p>
            </w:tc>
            <w:tc>
              <w:tcPr>
                <w:tcW w:w="1272" w:type="dxa"/>
                <w:noWrap/>
                <w:hideMark/>
              </w:tcPr>
              <w:p w:rsidR="005B7974" w:rsidRPr="005B7974" w:rsidRDefault="005B7974" w:rsidP="005B797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5B7974">
                  <w:rPr>
                    <w:rFonts w:ascii="Calibri" w:eastAsia="Times New Roman" w:hAnsi="Calibri" w:cs="Times New Roman"/>
                    <w:b/>
                    <w:bCs/>
                    <w:sz w:val="20"/>
                    <w:szCs w:val="20"/>
                    <w:lang w:eastAsia="es-ES"/>
                  </w:rPr>
                  <w:t>Nº</w:t>
                </w:r>
              </w:p>
            </w:tc>
            <w:tc>
              <w:tcPr>
                <w:tcW w:w="1363" w:type="dxa"/>
                <w:noWrap/>
                <w:hideMark/>
              </w:tcPr>
              <w:p w:rsidR="005B7974" w:rsidRPr="005B7974" w:rsidRDefault="005B7974" w:rsidP="005B797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5B7974">
                  <w:rPr>
                    <w:rFonts w:ascii="Calibri" w:eastAsia="Times New Roman" w:hAnsi="Calibri" w:cs="Times New Roman"/>
                    <w:b/>
                    <w:bCs/>
                    <w:sz w:val="20"/>
                    <w:szCs w:val="20"/>
                    <w:lang w:eastAsia="es-ES"/>
                  </w:rPr>
                  <w:t>%</w:t>
                </w:r>
              </w:p>
            </w:tc>
          </w:tr>
          <w:tr w:rsidR="005B7974" w:rsidRPr="005B7974" w:rsidTr="005B7974">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817" w:type="dxa"/>
                <w:noWrap/>
                <w:hideMark/>
              </w:tcPr>
              <w:p w:rsidR="005B7974" w:rsidRPr="005B7974" w:rsidRDefault="005B7974" w:rsidP="005B7974">
                <w:pPr>
                  <w:jc w:val="center"/>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Zona rural (&lt;2000)</w:t>
                </w:r>
              </w:p>
            </w:tc>
            <w:tc>
              <w:tcPr>
                <w:tcW w:w="1613" w:type="dxa"/>
                <w:noWrap/>
                <w:hideMark/>
              </w:tcPr>
              <w:p w:rsidR="005B7974" w:rsidRPr="005B7974" w:rsidRDefault="005B7974" w:rsidP="005B797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8108</w:t>
                </w:r>
              </w:p>
            </w:tc>
            <w:tc>
              <w:tcPr>
                <w:tcW w:w="1363" w:type="dxa"/>
                <w:noWrap/>
                <w:hideMark/>
              </w:tcPr>
              <w:p w:rsidR="005B7974" w:rsidRPr="005B7974" w:rsidRDefault="005B7974" w:rsidP="005B797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73,75%</w:t>
                </w:r>
              </w:p>
            </w:tc>
            <w:tc>
              <w:tcPr>
                <w:tcW w:w="1272" w:type="dxa"/>
                <w:noWrap/>
                <w:hideMark/>
              </w:tcPr>
              <w:p w:rsidR="005B7974" w:rsidRPr="005B7974" w:rsidRDefault="005B7974" w:rsidP="005B797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40</w:t>
                </w:r>
              </w:p>
            </w:tc>
            <w:tc>
              <w:tcPr>
                <w:tcW w:w="1363" w:type="dxa"/>
                <w:noWrap/>
                <w:hideMark/>
              </w:tcPr>
              <w:p w:rsidR="005B7974" w:rsidRPr="005B7974" w:rsidRDefault="005B7974" w:rsidP="005B797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97,56%</w:t>
                </w:r>
              </w:p>
            </w:tc>
          </w:tr>
          <w:tr w:rsidR="005B7974" w:rsidRPr="005B7974" w:rsidTr="005B7974">
            <w:trPr>
              <w:cnfStyle w:val="000000010000" w:firstRow="0" w:lastRow="0" w:firstColumn="0" w:lastColumn="0" w:oddVBand="0" w:evenVBand="0" w:oddHBand="0" w:evenHBand="1"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817" w:type="dxa"/>
                <w:noWrap/>
                <w:hideMark/>
              </w:tcPr>
              <w:p w:rsidR="005B7974" w:rsidRPr="005B7974" w:rsidRDefault="005B7974" w:rsidP="005B7974">
                <w:pPr>
                  <w:jc w:val="center"/>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Zona intermedia (&lt; 10000)</w:t>
                </w:r>
              </w:p>
            </w:tc>
            <w:tc>
              <w:tcPr>
                <w:tcW w:w="1613" w:type="dxa"/>
                <w:noWrap/>
                <w:hideMark/>
              </w:tcPr>
              <w:p w:rsidR="005B7974" w:rsidRPr="005B7974" w:rsidRDefault="005B7974" w:rsidP="005B797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2886</w:t>
                </w:r>
              </w:p>
            </w:tc>
            <w:tc>
              <w:tcPr>
                <w:tcW w:w="1363" w:type="dxa"/>
                <w:noWrap/>
                <w:hideMark/>
              </w:tcPr>
              <w:p w:rsidR="005B7974" w:rsidRPr="005B7974" w:rsidRDefault="005B7974" w:rsidP="005B797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26,25%</w:t>
                </w:r>
              </w:p>
            </w:tc>
            <w:tc>
              <w:tcPr>
                <w:tcW w:w="1272" w:type="dxa"/>
                <w:noWrap/>
                <w:hideMark/>
              </w:tcPr>
              <w:p w:rsidR="005B7974" w:rsidRPr="005B7974" w:rsidRDefault="005B7974" w:rsidP="005B797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1</w:t>
                </w:r>
              </w:p>
            </w:tc>
            <w:tc>
              <w:tcPr>
                <w:tcW w:w="1363" w:type="dxa"/>
                <w:noWrap/>
                <w:hideMark/>
              </w:tcPr>
              <w:p w:rsidR="005B7974" w:rsidRPr="005B7974" w:rsidRDefault="005B7974" w:rsidP="005B797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2,44%</w:t>
                </w:r>
              </w:p>
            </w:tc>
          </w:tr>
          <w:tr w:rsidR="005B7974" w:rsidRPr="005B7974" w:rsidTr="005B7974">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817" w:type="dxa"/>
                <w:noWrap/>
                <w:hideMark/>
              </w:tcPr>
              <w:p w:rsidR="005B7974" w:rsidRPr="005B7974" w:rsidRDefault="005B7974" w:rsidP="005B7974">
                <w:pPr>
                  <w:jc w:val="center"/>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Zona urbana (&gt; 10000)</w:t>
                </w:r>
              </w:p>
            </w:tc>
            <w:tc>
              <w:tcPr>
                <w:tcW w:w="1613" w:type="dxa"/>
                <w:noWrap/>
                <w:hideMark/>
              </w:tcPr>
              <w:p w:rsidR="005B7974" w:rsidRPr="005B7974" w:rsidRDefault="005B7974" w:rsidP="005B797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0</w:t>
                </w:r>
              </w:p>
            </w:tc>
            <w:tc>
              <w:tcPr>
                <w:tcW w:w="1363" w:type="dxa"/>
                <w:noWrap/>
                <w:hideMark/>
              </w:tcPr>
              <w:p w:rsidR="005B7974" w:rsidRPr="005B7974" w:rsidRDefault="005B7974" w:rsidP="005B797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0,00%</w:t>
                </w:r>
              </w:p>
            </w:tc>
            <w:tc>
              <w:tcPr>
                <w:tcW w:w="1272" w:type="dxa"/>
                <w:noWrap/>
                <w:hideMark/>
              </w:tcPr>
              <w:p w:rsidR="005B7974" w:rsidRPr="005B7974" w:rsidRDefault="005B7974" w:rsidP="005B797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0</w:t>
                </w:r>
              </w:p>
            </w:tc>
            <w:tc>
              <w:tcPr>
                <w:tcW w:w="1363" w:type="dxa"/>
                <w:noWrap/>
                <w:hideMark/>
              </w:tcPr>
              <w:p w:rsidR="005B7974" w:rsidRPr="005B7974" w:rsidRDefault="005B7974" w:rsidP="005B797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0,00%</w:t>
                </w:r>
              </w:p>
            </w:tc>
          </w:tr>
          <w:tr w:rsidR="005B7974" w:rsidRPr="005B7974" w:rsidTr="005B7974">
            <w:trPr>
              <w:cnfStyle w:val="000000010000" w:firstRow="0" w:lastRow="0" w:firstColumn="0" w:lastColumn="0" w:oddVBand="0" w:evenVBand="0" w:oddHBand="0" w:evenHBand="1"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817" w:type="dxa"/>
                <w:noWrap/>
                <w:hideMark/>
              </w:tcPr>
              <w:p w:rsidR="005B7974" w:rsidRPr="005B7974" w:rsidRDefault="005B7974" w:rsidP="005B7974">
                <w:pPr>
                  <w:jc w:val="center"/>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Total</w:t>
                </w:r>
              </w:p>
            </w:tc>
            <w:tc>
              <w:tcPr>
                <w:tcW w:w="1613" w:type="dxa"/>
                <w:noWrap/>
                <w:hideMark/>
              </w:tcPr>
              <w:p w:rsidR="005B7974" w:rsidRPr="005B7974" w:rsidRDefault="005B7974" w:rsidP="005B797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10994</w:t>
                </w:r>
              </w:p>
            </w:tc>
            <w:tc>
              <w:tcPr>
                <w:tcW w:w="1363" w:type="dxa"/>
                <w:noWrap/>
                <w:hideMark/>
              </w:tcPr>
              <w:p w:rsidR="005B7974" w:rsidRPr="005B7974" w:rsidRDefault="005B7974" w:rsidP="005B797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100,00%</w:t>
                </w:r>
              </w:p>
            </w:tc>
            <w:tc>
              <w:tcPr>
                <w:tcW w:w="1272" w:type="dxa"/>
                <w:noWrap/>
                <w:hideMark/>
              </w:tcPr>
              <w:p w:rsidR="005B7974" w:rsidRPr="005B7974" w:rsidRDefault="005B7974" w:rsidP="005B797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41</w:t>
                </w:r>
              </w:p>
            </w:tc>
            <w:tc>
              <w:tcPr>
                <w:tcW w:w="1363" w:type="dxa"/>
                <w:noWrap/>
                <w:hideMark/>
              </w:tcPr>
              <w:p w:rsidR="005B7974" w:rsidRPr="005B7974" w:rsidRDefault="005B7974" w:rsidP="005B797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5B7974">
                  <w:rPr>
                    <w:rFonts w:ascii="Calibri" w:eastAsia="Times New Roman" w:hAnsi="Calibri" w:cs="Times New Roman"/>
                    <w:sz w:val="20"/>
                    <w:szCs w:val="20"/>
                    <w:lang w:eastAsia="es-ES"/>
                  </w:rPr>
                  <w:t>100,00%</w:t>
                </w:r>
              </w:p>
            </w:tc>
          </w:tr>
        </w:tbl>
        <w:p w:rsidR="005F081D" w:rsidRDefault="005F081D" w:rsidP="00DA6CCE">
          <w:pPr>
            <w:jc w:val="both"/>
            <w:rPr>
              <w:noProof/>
              <w:lang w:eastAsia="es-ES"/>
            </w:rPr>
          </w:pPr>
        </w:p>
        <w:p w:rsidR="005F081D" w:rsidRPr="000E24E8" w:rsidRDefault="005F081D" w:rsidP="00DA6CCE">
          <w:pPr>
            <w:pStyle w:val="Prrafodelista"/>
            <w:numPr>
              <w:ilvl w:val="0"/>
              <w:numId w:val="1"/>
            </w:numPr>
            <w:jc w:val="both"/>
            <w:rPr>
              <w:b/>
              <w:noProof/>
              <w:sz w:val="24"/>
              <w:szCs w:val="24"/>
              <w:lang w:eastAsia="es-ES"/>
            </w:rPr>
          </w:pPr>
          <w:r w:rsidRPr="000E24E8">
            <w:rPr>
              <w:b/>
              <w:noProof/>
              <w:sz w:val="24"/>
              <w:szCs w:val="24"/>
              <w:lang w:eastAsia="es-ES"/>
            </w:rPr>
            <w:t>Pirámide de población:</w:t>
          </w:r>
        </w:p>
        <w:p w:rsidR="005F081D" w:rsidRDefault="005F081D" w:rsidP="00DA6CCE">
          <w:pPr>
            <w:pStyle w:val="Prrafodelista"/>
            <w:jc w:val="both"/>
            <w:rPr>
              <w:noProof/>
              <w:lang w:eastAsia="es-ES"/>
            </w:rPr>
          </w:pPr>
        </w:p>
        <w:p w:rsidR="005F081D" w:rsidRDefault="005B7974" w:rsidP="00DA6CCE">
          <w:pPr>
            <w:pStyle w:val="Prrafodelista"/>
            <w:ind w:left="284"/>
            <w:jc w:val="both"/>
            <w:rPr>
              <w:noProof/>
              <w:lang w:eastAsia="es-ES"/>
            </w:rPr>
          </w:pPr>
          <w:r>
            <w:rPr>
              <w:noProof/>
              <w:lang w:eastAsia="es-ES"/>
            </w:rPr>
            <w:drawing>
              <wp:inline distT="0" distB="0" distL="0" distR="0" wp14:anchorId="4B0F91BA" wp14:editId="2F5674A6">
                <wp:extent cx="5400040" cy="3589640"/>
                <wp:effectExtent l="0" t="0" r="1016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413A" w:rsidRDefault="0077413A" w:rsidP="00DA6CCE">
          <w:pPr>
            <w:pStyle w:val="Prrafodelista"/>
            <w:ind w:left="284"/>
            <w:jc w:val="both"/>
            <w:rPr>
              <w:noProof/>
              <w:lang w:eastAsia="es-ES"/>
            </w:rPr>
          </w:pPr>
        </w:p>
        <w:p w:rsidR="0077413A" w:rsidRDefault="0077413A" w:rsidP="00DA6CCE">
          <w:pPr>
            <w:pStyle w:val="Prrafodelista"/>
            <w:ind w:left="284"/>
            <w:jc w:val="both"/>
            <w:rPr>
              <w:noProof/>
              <w:lang w:eastAsia="es-ES"/>
            </w:rPr>
          </w:pPr>
        </w:p>
        <w:p w:rsidR="008222AC" w:rsidRDefault="008222AC" w:rsidP="00DA6CCE">
          <w:pPr>
            <w:jc w:val="both"/>
            <w:rPr>
              <w:noProof/>
              <w:lang w:eastAsia="es-ES"/>
            </w:rPr>
          </w:pPr>
        </w:p>
        <w:p w:rsidR="00533C22" w:rsidRDefault="00533C22" w:rsidP="00DA6CCE">
          <w:pPr>
            <w:pStyle w:val="Prrafodelista"/>
            <w:numPr>
              <w:ilvl w:val="0"/>
              <w:numId w:val="1"/>
            </w:numPr>
            <w:jc w:val="both"/>
            <w:rPr>
              <w:b/>
              <w:sz w:val="24"/>
              <w:szCs w:val="24"/>
            </w:rPr>
          </w:pPr>
          <w:r w:rsidRPr="00533C22">
            <w:rPr>
              <w:b/>
              <w:sz w:val="24"/>
              <w:szCs w:val="24"/>
            </w:rPr>
            <w:lastRenderedPageBreak/>
            <w:t>Evolución de la población (1900-2013):</w:t>
          </w:r>
        </w:p>
        <w:p w:rsidR="00533C22" w:rsidRDefault="00533C22" w:rsidP="00DA6CCE">
          <w:pPr>
            <w:pStyle w:val="Prrafodelista"/>
            <w:jc w:val="both"/>
            <w:rPr>
              <w:b/>
              <w:sz w:val="24"/>
              <w:szCs w:val="24"/>
            </w:rPr>
          </w:pPr>
        </w:p>
        <w:p w:rsidR="00533C22" w:rsidRDefault="005B7974" w:rsidP="00DC45B6">
          <w:pPr>
            <w:pStyle w:val="Prrafodelista"/>
            <w:ind w:left="426"/>
            <w:jc w:val="center"/>
            <w:rPr>
              <w:b/>
              <w:sz w:val="24"/>
              <w:szCs w:val="24"/>
            </w:rPr>
          </w:pPr>
          <w:r>
            <w:rPr>
              <w:noProof/>
              <w:lang w:eastAsia="es-ES"/>
            </w:rPr>
            <w:drawing>
              <wp:inline distT="0" distB="0" distL="0" distR="0" wp14:anchorId="22C5C33F" wp14:editId="17E0118B">
                <wp:extent cx="5405120" cy="2814320"/>
                <wp:effectExtent l="0" t="0" r="24130" b="2413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C22" w:rsidRPr="00533C22" w:rsidRDefault="00533C22" w:rsidP="00DA6CCE">
          <w:pPr>
            <w:pStyle w:val="Prrafodelista"/>
            <w:jc w:val="both"/>
          </w:pPr>
        </w:p>
        <w:p w:rsidR="00533C22" w:rsidRDefault="00533C22" w:rsidP="00DA6CCE">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533C22" w:rsidRDefault="00533C22" w:rsidP="00DA6CCE">
          <w:pPr>
            <w:pStyle w:val="Prrafodelista"/>
            <w:jc w:val="both"/>
            <w:rPr>
              <w:sz w:val="24"/>
              <w:szCs w:val="24"/>
            </w:rPr>
          </w:pPr>
        </w:p>
        <w:p w:rsidR="00533C22" w:rsidRDefault="005B7974" w:rsidP="00DA6CCE">
          <w:pPr>
            <w:pStyle w:val="Prrafodelista"/>
            <w:ind w:left="567"/>
            <w:jc w:val="both"/>
            <w:rPr>
              <w:sz w:val="24"/>
              <w:szCs w:val="24"/>
            </w:rPr>
          </w:pPr>
          <w:r w:rsidRPr="005B7974">
            <w:rPr>
              <w:noProof/>
              <w:lang w:eastAsia="es-ES"/>
            </w:rPr>
            <w:drawing>
              <wp:inline distT="0" distB="0" distL="0" distR="0" wp14:anchorId="0A0DCA2E" wp14:editId="4E120187">
                <wp:extent cx="5486398" cy="1158240"/>
                <wp:effectExtent l="0" t="0" r="63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1566" cy="1159331"/>
                        </a:xfrm>
                        <a:prstGeom prst="rect">
                          <a:avLst/>
                        </a:prstGeom>
                        <a:noFill/>
                        <a:ln>
                          <a:noFill/>
                        </a:ln>
                      </pic:spPr>
                    </pic:pic>
                  </a:graphicData>
                </a:graphic>
              </wp:inline>
            </w:drawing>
          </w:r>
        </w:p>
        <w:p w:rsidR="00533C22" w:rsidRDefault="00533C22" w:rsidP="00DA6CCE">
          <w:pPr>
            <w:pStyle w:val="Prrafodelista"/>
            <w:jc w:val="both"/>
            <w:rPr>
              <w:sz w:val="24"/>
              <w:szCs w:val="24"/>
            </w:rPr>
          </w:pPr>
        </w:p>
        <w:p w:rsidR="00533C22" w:rsidRPr="00FA17CC" w:rsidRDefault="00533C22" w:rsidP="00FA17CC">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533C22" w:rsidRDefault="005B7974" w:rsidP="00CE7FA3">
          <w:pPr>
            <w:pStyle w:val="Prrafodelista"/>
            <w:ind w:left="567"/>
            <w:jc w:val="both"/>
            <w:rPr>
              <w:sz w:val="24"/>
              <w:szCs w:val="24"/>
            </w:rPr>
          </w:pPr>
          <w:r w:rsidRPr="005B7974">
            <w:rPr>
              <w:noProof/>
              <w:lang w:eastAsia="es-ES"/>
            </w:rPr>
            <w:drawing>
              <wp:inline distT="0" distB="0" distL="0" distR="0" wp14:anchorId="23D18870" wp14:editId="386BF5D9">
                <wp:extent cx="5537200" cy="1097280"/>
                <wp:effectExtent l="0" t="0" r="635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2418" cy="1098314"/>
                        </a:xfrm>
                        <a:prstGeom prst="rect">
                          <a:avLst/>
                        </a:prstGeom>
                        <a:noFill/>
                        <a:ln>
                          <a:noFill/>
                        </a:ln>
                      </pic:spPr>
                    </pic:pic>
                  </a:graphicData>
                </a:graphic>
              </wp:inline>
            </w:drawing>
          </w:r>
        </w:p>
        <w:p w:rsidR="00AF7330" w:rsidRDefault="00AF7330" w:rsidP="00DA6CCE">
          <w:pPr>
            <w:jc w:val="both"/>
            <w:rPr>
              <w:sz w:val="24"/>
              <w:szCs w:val="24"/>
            </w:rPr>
          </w:pPr>
        </w:p>
        <w:p w:rsidR="005B7974" w:rsidRDefault="005B7974" w:rsidP="00DA6CCE">
          <w:pPr>
            <w:jc w:val="both"/>
            <w:rPr>
              <w:sz w:val="24"/>
              <w:szCs w:val="24"/>
            </w:rPr>
          </w:pPr>
        </w:p>
        <w:p w:rsidR="005B7974" w:rsidRDefault="005B7974" w:rsidP="00DA6CCE">
          <w:pPr>
            <w:jc w:val="both"/>
            <w:rPr>
              <w:sz w:val="24"/>
              <w:szCs w:val="24"/>
            </w:rPr>
          </w:pPr>
        </w:p>
        <w:p w:rsidR="005B7974" w:rsidRPr="0092710E" w:rsidRDefault="005B7974" w:rsidP="00DA6CCE">
          <w:pPr>
            <w:jc w:val="both"/>
            <w:rPr>
              <w:sz w:val="24"/>
              <w:szCs w:val="24"/>
            </w:rPr>
          </w:pPr>
        </w:p>
        <w:p w:rsidR="00533C22" w:rsidRPr="00533C22" w:rsidRDefault="00533C22" w:rsidP="00DA6CCE">
          <w:pPr>
            <w:pStyle w:val="Prrafodelista"/>
            <w:numPr>
              <w:ilvl w:val="0"/>
              <w:numId w:val="1"/>
            </w:numPr>
            <w:jc w:val="both"/>
            <w:rPr>
              <w:b/>
              <w:sz w:val="24"/>
              <w:szCs w:val="24"/>
            </w:rPr>
          </w:pPr>
          <w:r w:rsidRPr="00533C22">
            <w:rPr>
              <w:b/>
              <w:sz w:val="24"/>
              <w:szCs w:val="24"/>
            </w:rPr>
            <w:lastRenderedPageBreak/>
            <w:t>Tasas de envejecimiento:</w:t>
          </w:r>
        </w:p>
        <w:p w:rsidR="00533C22" w:rsidRPr="00533C22" w:rsidRDefault="00533C22" w:rsidP="00DA6CCE">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5B7974" w:rsidP="00DA6CCE">
          <w:pPr>
            <w:pStyle w:val="Prrafodelista"/>
            <w:ind w:left="426"/>
            <w:jc w:val="both"/>
          </w:pPr>
          <w:r w:rsidRPr="005B7974">
            <w:rPr>
              <w:noProof/>
              <w:lang w:eastAsia="es-ES"/>
            </w:rPr>
            <w:drawing>
              <wp:inline distT="0" distB="0" distL="0" distR="0" wp14:anchorId="20C35269" wp14:editId="003D520D">
                <wp:extent cx="5445760" cy="497840"/>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5763" cy="501497"/>
                        </a:xfrm>
                        <a:prstGeom prst="rect">
                          <a:avLst/>
                        </a:prstGeom>
                        <a:noFill/>
                        <a:ln>
                          <a:noFill/>
                        </a:ln>
                      </pic:spPr>
                    </pic:pic>
                  </a:graphicData>
                </a:graphic>
              </wp:inline>
            </w:drawing>
          </w:r>
        </w:p>
        <w:p w:rsidR="00533C22" w:rsidRPr="00533C22" w:rsidRDefault="00533C22" w:rsidP="00DA6CCE">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5B7974" w:rsidP="00DA6CCE">
          <w:pPr>
            <w:pStyle w:val="Prrafodelista"/>
            <w:ind w:left="426"/>
            <w:jc w:val="both"/>
            <w:rPr>
              <w:b/>
              <w:sz w:val="24"/>
              <w:szCs w:val="24"/>
            </w:rPr>
          </w:pPr>
          <w:r w:rsidRPr="005B7974">
            <w:rPr>
              <w:noProof/>
              <w:lang w:eastAsia="es-ES"/>
            </w:rPr>
            <w:drawing>
              <wp:inline distT="0" distB="0" distL="0" distR="0" wp14:anchorId="4B817046" wp14:editId="3FBD0612">
                <wp:extent cx="5445760" cy="528320"/>
                <wp:effectExtent l="0" t="0" r="254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5764" cy="532201"/>
                        </a:xfrm>
                        <a:prstGeom prst="rect">
                          <a:avLst/>
                        </a:prstGeom>
                        <a:noFill/>
                        <a:ln>
                          <a:noFill/>
                        </a:ln>
                      </pic:spPr>
                    </pic:pic>
                  </a:graphicData>
                </a:graphic>
              </wp:inline>
            </w:drawing>
          </w:r>
        </w:p>
        <w:p w:rsidR="00533C22" w:rsidRPr="00533C22" w:rsidRDefault="00533C22" w:rsidP="00DA6CCE">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5B7974" w:rsidP="00DA6CCE">
          <w:pPr>
            <w:pStyle w:val="Prrafodelista"/>
            <w:ind w:left="426"/>
            <w:jc w:val="both"/>
            <w:rPr>
              <w:b/>
              <w:sz w:val="24"/>
              <w:szCs w:val="24"/>
            </w:rPr>
          </w:pPr>
          <w:r w:rsidRPr="005B7974">
            <w:rPr>
              <w:noProof/>
              <w:lang w:eastAsia="es-ES"/>
            </w:rPr>
            <w:drawing>
              <wp:inline distT="0" distB="0" distL="0" distR="0" wp14:anchorId="519EC431" wp14:editId="52D97BF8">
                <wp:extent cx="5445760" cy="51816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5760" cy="521966"/>
                        </a:xfrm>
                        <a:prstGeom prst="rect">
                          <a:avLst/>
                        </a:prstGeom>
                        <a:noFill/>
                        <a:ln>
                          <a:noFill/>
                        </a:ln>
                      </pic:spPr>
                    </pic:pic>
                  </a:graphicData>
                </a:graphic>
              </wp:inline>
            </w:drawing>
          </w:r>
        </w:p>
        <w:p w:rsidR="00533C22" w:rsidRDefault="00533C22" w:rsidP="00DA6CCE">
          <w:pPr>
            <w:pStyle w:val="Prrafodelista"/>
            <w:ind w:left="426"/>
            <w:jc w:val="both"/>
            <w:rPr>
              <w:b/>
              <w:sz w:val="24"/>
              <w:szCs w:val="24"/>
            </w:rPr>
          </w:pPr>
        </w:p>
        <w:p w:rsidR="00533C22" w:rsidRDefault="00533C22" w:rsidP="00DA6CCE">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DA6CCE">
          <w:pPr>
            <w:pStyle w:val="Prrafodelista"/>
            <w:jc w:val="both"/>
            <w:rPr>
              <w:b/>
              <w:sz w:val="24"/>
              <w:szCs w:val="24"/>
            </w:rPr>
          </w:pPr>
        </w:p>
        <w:p w:rsidR="00533C22" w:rsidRPr="00533C22" w:rsidRDefault="005B7974" w:rsidP="00FA17CC">
          <w:pPr>
            <w:pStyle w:val="Prrafodelista"/>
            <w:ind w:hanging="153"/>
            <w:jc w:val="both"/>
            <w:rPr>
              <w:b/>
              <w:sz w:val="24"/>
              <w:szCs w:val="24"/>
            </w:rPr>
          </w:pPr>
          <w:r>
            <w:rPr>
              <w:noProof/>
              <w:lang w:eastAsia="es-ES"/>
            </w:rPr>
            <w:drawing>
              <wp:inline distT="0" distB="0" distL="0" distR="0" wp14:anchorId="7C75AFB5" wp14:editId="49E2B20F">
                <wp:extent cx="5400040" cy="2457452"/>
                <wp:effectExtent l="38100" t="0" r="1016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7330" w:rsidRDefault="005B7974" w:rsidP="00FA17CC">
          <w:pPr>
            <w:pStyle w:val="Prrafodelista"/>
            <w:ind w:left="709" w:right="-1" w:hanging="142"/>
            <w:jc w:val="both"/>
            <w:rPr>
              <w:b/>
              <w:sz w:val="24"/>
              <w:szCs w:val="24"/>
            </w:rPr>
          </w:pPr>
          <w:r>
            <w:rPr>
              <w:noProof/>
              <w:lang w:eastAsia="es-ES"/>
            </w:rPr>
            <w:drawing>
              <wp:inline distT="0" distB="0" distL="0" distR="0" wp14:anchorId="18D5B44E" wp14:editId="5972D96B">
                <wp:extent cx="5394960" cy="2611120"/>
                <wp:effectExtent l="0" t="0" r="15240" b="1778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22AC" w:rsidRDefault="008222AC" w:rsidP="00DA6CCE">
          <w:pPr>
            <w:pStyle w:val="Prrafodelista"/>
            <w:ind w:left="567" w:right="-1" w:firstLine="142"/>
            <w:jc w:val="both"/>
            <w:rPr>
              <w:b/>
              <w:sz w:val="24"/>
              <w:szCs w:val="24"/>
            </w:rPr>
          </w:pPr>
        </w:p>
        <w:p w:rsidR="00190C45" w:rsidRPr="008E7AAF" w:rsidRDefault="00190C45" w:rsidP="008E7AAF">
          <w:pPr>
            <w:ind w:right="-1"/>
            <w:jc w:val="both"/>
            <w:rPr>
              <w:b/>
              <w:sz w:val="24"/>
              <w:szCs w:val="24"/>
            </w:rPr>
          </w:pPr>
        </w:p>
        <w:p w:rsidR="00906EF5" w:rsidRPr="00DA0DF8" w:rsidRDefault="00906EF5" w:rsidP="00DA6CCE">
          <w:pPr>
            <w:pStyle w:val="Prrafodelista"/>
            <w:numPr>
              <w:ilvl w:val="0"/>
              <w:numId w:val="1"/>
            </w:numPr>
            <w:jc w:val="both"/>
            <w:rPr>
              <w:b/>
              <w:sz w:val="24"/>
              <w:szCs w:val="24"/>
            </w:rPr>
          </w:pPr>
          <w:r w:rsidRPr="00DA0DF8">
            <w:rPr>
              <w:b/>
              <w:sz w:val="24"/>
              <w:szCs w:val="24"/>
            </w:rPr>
            <w:lastRenderedPageBreak/>
            <w:t>Tasas e indicadores:</w:t>
          </w:r>
        </w:p>
        <w:tbl>
          <w:tblPr>
            <w:tblStyle w:val="Sombreadomedio1-nfasis4"/>
            <w:tblW w:w="7720" w:type="dxa"/>
            <w:jc w:val="center"/>
            <w:tblLook w:val="04A0" w:firstRow="1" w:lastRow="0" w:firstColumn="1" w:lastColumn="0" w:noHBand="0" w:noVBand="1"/>
          </w:tblPr>
          <w:tblGrid>
            <w:gridCol w:w="2500"/>
            <w:gridCol w:w="2420"/>
            <w:gridCol w:w="2800"/>
          </w:tblGrid>
          <w:tr w:rsidR="00DA0DF8" w:rsidRPr="00DA0DF8" w:rsidTr="00DA0DF8">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DA0DF8" w:rsidRPr="00DA0DF8" w:rsidRDefault="00DA0DF8" w:rsidP="00DA0DF8">
                <w:pPr>
                  <w:jc w:val="center"/>
                  <w:rPr>
                    <w:rFonts w:eastAsia="Times New Roman" w:cs="Times New Roman"/>
                    <w:sz w:val="20"/>
                    <w:szCs w:val="20"/>
                    <w:lang w:eastAsia="es-ES"/>
                  </w:rPr>
                </w:pPr>
                <w:r w:rsidRPr="00DA0DF8">
                  <w:rPr>
                    <w:rFonts w:eastAsia="Times New Roman" w:cs="Times New Roman"/>
                    <w:sz w:val="20"/>
                    <w:szCs w:val="20"/>
                    <w:lang w:eastAsia="es-ES"/>
                  </w:rPr>
                  <w:t>Tasa de masculinidad</w:t>
                </w:r>
              </w:p>
            </w:tc>
            <w:tc>
              <w:tcPr>
                <w:tcW w:w="2420" w:type="dxa"/>
                <w:vMerge w:val="restart"/>
                <w:noWrap/>
                <w:hideMark/>
              </w:tcPr>
              <w:p w:rsidR="00DA0DF8" w:rsidRPr="00DA0DF8" w:rsidRDefault="00DA0DF8" w:rsidP="00DA0DF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DA0DF8">
                  <w:rPr>
                    <w:rFonts w:eastAsia="Times New Roman" w:cs="Times New Roman"/>
                    <w:sz w:val="20"/>
                    <w:szCs w:val="20"/>
                    <w:lang w:eastAsia="es-ES"/>
                  </w:rPr>
                  <w:t>Aragón</w:t>
                </w:r>
              </w:p>
            </w:tc>
            <w:tc>
              <w:tcPr>
                <w:tcW w:w="2800" w:type="dxa"/>
                <w:vMerge w:val="restart"/>
                <w:noWrap/>
                <w:hideMark/>
              </w:tcPr>
              <w:p w:rsidR="00DA0DF8" w:rsidRPr="00DA0DF8" w:rsidRDefault="00DA0DF8" w:rsidP="00DA0DF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DA0DF8">
                  <w:rPr>
                    <w:rFonts w:eastAsia="Times New Roman" w:cs="Times New Roman"/>
                    <w:sz w:val="20"/>
                    <w:szCs w:val="20"/>
                    <w:lang w:eastAsia="es-ES"/>
                  </w:rPr>
                  <w:t>GAL</w:t>
                </w:r>
              </w:p>
            </w:tc>
          </w:tr>
          <w:tr w:rsidR="00DA0DF8" w:rsidRPr="00DA0DF8" w:rsidTr="00DA0DF8">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DA0DF8" w:rsidRPr="00DA0DF8" w:rsidRDefault="00DA0DF8" w:rsidP="00DA0DF8">
                <w:pPr>
                  <w:rPr>
                    <w:rFonts w:eastAsia="Times New Roman" w:cs="Times New Roman"/>
                    <w:sz w:val="20"/>
                    <w:szCs w:val="20"/>
                    <w:lang w:eastAsia="es-ES"/>
                  </w:rPr>
                </w:pPr>
              </w:p>
            </w:tc>
            <w:tc>
              <w:tcPr>
                <w:tcW w:w="2420" w:type="dxa"/>
                <w:vMerge/>
                <w:hideMark/>
              </w:tcPr>
              <w:p w:rsidR="00DA0DF8" w:rsidRPr="00DA0DF8" w:rsidRDefault="00DA0DF8" w:rsidP="00DA0DF8">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DA0DF8" w:rsidRPr="00DA0DF8" w:rsidRDefault="00DA0DF8" w:rsidP="00DA0DF8">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DA0DF8" w:rsidRPr="00DA0DF8" w:rsidTr="00DA0DF8">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DA0DF8" w:rsidRPr="00DA0DF8" w:rsidRDefault="00DA0DF8" w:rsidP="00DA0DF8">
                <w:pPr>
                  <w:rPr>
                    <w:rFonts w:eastAsia="Times New Roman" w:cs="Times New Roman"/>
                    <w:sz w:val="20"/>
                    <w:szCs w:val="20"/>
                    <w:lang w:eastAsia="es-ES"/>
                  </w:rPr>
                </w:pPr>
              </w:p>
            </w:tc>
            <w:tc>
              <w:tcPr>
                <w:tcW w:w="2420" w:type="dxa"/>
                <w:noWrap/>
                <w:hideMark/>
              </w:tcPr>
              <w:p w:rsidR="00DA0DF8" w:rsidRPr="00DA0DF8" w:rsidRDefault="00DA0DF8" w:rsidP="00DA0DF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DA0DF8">
                  <w:rPr>
                    <w:rFonts w:eastAsia="Times New Roman" w:cs="Times New Roman"/>
                    <w:b/>
                    <w:bCs/>
                    <w:sz w:val="20"/>
                    <w:szCs w:val="20"/>
                    <w:lang w:eastAsia="es-ES"/>
                  </w:rPr>
                  <w:t>98,94%</w:t>
                </w:r>
              </w:p>
            </w:tc>
            <w:tc>
              <w:tcPr>
                <w:tcW w:w="2800" w:type="dxa"/>
                <w:noWrap/>
                <w:hideMark/>
              </w:tcPr>
              <w:p w:rsidR="00DA0DF8" w:rsidRPr="00DA0DF8" w:rsidRDefault="00DA0DF8" w:rsidP="00DA0DF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DA0DF8">
                  <w:rPr>
                    <w:rFonts w:eastAsia="Times New Roman" w:cs="Times New Roman"/>
                    <w:b/>
                    <w:bCs/>
                    <w:sz w:val="20"/>
                    <w:szCs w:val="20"/>
                    <w:lang w:eastAsia="es-ES"/>
                  </w:rPr>
                  <w:t>112,40%</w:t>
                </w:r>
              </w:p>
            </w:tc>
          </w:tr>
          <w:tr w:rsidR="00DA0DF8" w:rsidRPr="00DA0DF8" w:rsidTr="00DA0DF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DA0DF8" w:rsidRPr="00DA0DF8" w:rsidRDefault="00DA0DF8" w:rsidP="00DA0DF8">
                <w:pPr>
                  <w:rPr>
                    <w:rFonts w:eastAsia="Times New Roman" w:cs="Times New Roman"/>
                    <w:sz w:val="20"/>
                    <w:szCs w:val="20"/>
                    <w:lang w:eastAsia="es-ES"/>
                  </w:rPr>
                </w:pPr>
                <w:r w:rsidRPr="00DA0DF8">
                  <w:rPr>
                    <w:rFonts w:eastAsia="Times New Roman" w:cs="Times New Roman"/>
                    <w:sz w:val="20"/>
                    <w:szCs w:val="20"/>
                    <w:lang w:eastAsia="es-ES"/>
                  </w:rPr>
                  <w:t>(número de varones dividido entre número de mujeres</w:t>
                </w:r>
              </w:p>
            </w:tc>
            <w:tc>
              <w:tcPr>
                <w:tcW w:w="2420"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DA0DF8" w:rsidRPr="00DA0DF8" w:rsidTr="00DA0DF8">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DA0DF8" w:rsidRPr="00DA0DF8" w:rsidRDefault="00DA0DF8" w:rsidP="00DA0DF8">
                <w:pPr>
                  <w:rPr>
                    <w:rFonts w:eastAsia="Times New Roman" w:cs="Times New Roman"/>
                    <w:sz w:val="20"/>
                    <w:szCs w:val="20"/>
                    <w:lang w:eastAsia="es-ES"/>
                  </w:rPr>
                </w:pPr>
              </w:p>
            </w:tc>
            <w:tc>
              <w:tcPr>
                <w:tcW w:w="2420" w:type="dxa"/>
                <w:noWrap/>
                <w:hideMark/>
              </w:tcPr>
              <w:p w:rsidR="00DA0DF8" w:rsidRPr="00DA0DF8" w:rsidRDefault="00DA0DF8" w:rsidP="00DA0DF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DA0DF8" w:rsidRPr="00DA0DF8" w:rsidRDefault="00DA0DF8" w:rsidP="00DA0DF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DA0DF8" w:rsidRPr="00DA0DF8" w:rsidTr="00DA0DF8">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DA0DF8" w:rsidRPr="00DA0DF8" w:rsidRDefault="00DA0DF8" w:rsidP="00DA0DF8">
                <w:pPr>
                  <w:jc w:val="center"/>
                  <w:rPr>
                    <w:rFonts w:eastAsia="Times New Roman" w:cs="Times New Roman"/>
                    <w:sz w:val="20"/>
                    <w:szCs w:val="20"/>
                    <w:lang w:eastAsia="es-ES"/>
                  </w:rPr>
                </w:pPr>
                <w:r w:rsidRPr="00DA0DF8">
                  <w:rPr>
                    <w:rFonts w:eastAsia="Times New Roman" w:cs="Times New Roman"/>
                    <w:sz w:val="20"/>
                    <w:szCs w:val="20"/>
                    <w:lang w:eastAsia="es-ES"/>
                  </w:rPr>
                  <w:t>Índice de maternidad</w:t>
                </w:r>
              </w:p>
            </w:tc>
            <w:tc>
              <w:tcPr>
                <w:tcW w:w="2420" w:type="dxa"/>
                <w:vMerge w:val="restart"/>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DA0DF8">
                  <w:rPr>
                    <w:rFonts w:eastAsia="Times New Roman" w:cs="Times New Roman"/>
                    <w:b/>
                    <w:bCs/>
                    <w:sz w:val="20"/>
                    <w:szCs w:val="20"/>
                    <w:lang w:eastAsia="es-ES"/>
                  </w:rPr>
                  <w:t>Aragón</w:t>
                </w:r>
              </w:p>
            </w:tc>
            <w:tc>
              <w:tcPr>
                <w:tcW w:w="2800" w:type="dxa"/>
                <w:vMerge w:val="restart"/>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DA0DF8">
                  <w:rPr>
                    <w:rFonts w:eastAsia="Times New Roman" w:cs="Times New Roman"/>
                    <w:b/>
                    <w:bCs/>
                    <w:sz w:val="20"/>
                    <w:szCs w:val="20"/>
                    <w:lang w:eastAsia="es-ES"/>
                  </w:rPr>
                  <w:t>GAL</w:t>
                </w:r>
              </w:p>
            </w:tc>
          </w:tr>
          <w:tr w:rsidR="00DA0DF8" w:rsidRPr="00DA0DF8" w:rsidTr="00DA0DF8">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DA0DF8" w:rsidRPr="00DA0DF8" w:rsidRDefault="00DA0DF8" w:rsidP="00DA0DF8">
                <w:pPr>
                  <w:rPr>
                    <w:rFonts w:eastAsia="Times New Roman" w:cs="Times New Roman"/>
                    <w:sz w:val="20"/>
                    <w:szCs w:val="20"/>
                    <w:lang w:eastAsia="es-ES"/>
                  </w:rPr>
                </w:pPr>
              </w:p>
            </w:tc>
            <w:tc>
              <w:tcPr>
                <w:tcW w:w="2420" w:type="dxa"/>
                <w:vMerge/>
                <w:hideMark/>
              </w:tcPr>
              <w:p w:rsidR="00DA0DF8" w:rsidRPr="00DA0DF8" w:rsidRDefault="00DA0DF8" w:rsidP="00DA0DF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c>
              <w:tcPr>
                <w:tcW w:w="2800" w:type="dxa"/>
                <w:vMerge/>
                <w:hideMark/>
              </w:tcPr>
              <w:p w:rsidR="00DA0DF8" w:rsidRPr="00DA0DF8" w:rsidRDefault="00DA0DF8" w:rsidP="00DA0DF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r>
          <w:tr w:rsidR="00DA0DF8" w:rsidRPr="00DA0DF8" w:rsidTr="00DA0DF8">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DA0DF8" w:rsidRPr="00DA0DF8" w:rsidRDefault="00DA0DF8" w:rsidP="00DA0DF8">
                <w:pPr>
                  <w:rPr>
                    <w:rFonts w:eastAsia="Times New Roman" w:cs="Times New Roman"/>
                    <w:sz w:val="20"/>
                    <w:szCs w:val="20"/>
                    <w:lang w:eastAsia="es-ES"/>
                  </w:rPr>
                </w:pPr>
              </w:p>
            </w:tc>
            <w:tc>
              <w:tcPr>
                <w:tcW w:w="2420"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DA0DF8">
                  <w:rPr>
                    <w:rFonts w:eastAsia="Times New Roman" w:cs="Times New Roman"/>
                    <w:b/>
                    <w:bCs/>
                    <w:sz w:val="20"/>
                    <w:szCs w:val="20"/>
                    <w:lang w:eastAsia="es-ES"/>
                  </w:rPr>
                  <w:t>20,92%</w:t>
                </w:r>
              </w:p>
            </w:tc>
            <w:tc>
              <w:tcPr>
                <w:tcW w:w="2800"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DA0DF8">
                  <w:rPr>
                    <w:rFonts w:eastAsia="Times New Roman" w:cs="Times New Roman"/>
                    <w:b/>
                    <w:bCs/>
                    <w:sz w:val="20"/>
                    <w:szCs w:val="20"/>
                    <w:lang w:eastAsia="es-ES"/>
                  </w:rPr>
                  <w:t>18,17%</w:t>
                </w:r>
              </w:p>
            </w:tc>
          </w:tr>
          <w:tr w:rsidR="00DA0DF8" w:rsidRPr="00DA0DF8" w:rsidTr="00DA0DF8">
            <w:trPr>
              <w:cnfStyle w:val="000000010000" w:firstRow="0" w:lastRow="0" w:firstColumn="0" w:lastColumn="0" w:oddVBand="0" w:evenVBand="0" w:oddHBand="0" w:evenHBand="1"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DA0DF8" w:rsidRPr="00DA0DF8" w:rsidRDefault="00DA0DF8" w:rsidP="00DA0DF8">
                <w:pPr>
                  <w:rPr>
                    <w:rFonts w:eastAsia="Times New Roman" w:cs="Times New Roman"/>
                    <w:sz w:val="20"/>
                    <w:szCs w:val="20"/>
                    <w:lang w:eastAsia="es-ES"/>
                  </w:rPr>
                </w:pPr>
                <w:r w:rsidRPr="00DA0DF8">
                  <w:rPr>
                    <w:rFonts w:eastAsia="Times New Roman" w:cs="Times New Roman"/>
                    <w:sz w:val="20"/>
                    <w:szCs w:val="20"/>
                    <w:lang w:eastAsia="es-ES"/>
                  </w:rPr>
                  <w:t>(número de niños de 0 a4 años entre mujeres de 15 a 49)</w:t>
                </w:r>
              </w:p>
            </w:tc>
            <w:tc>
              <w:tcPr>
                <w:tcW w:w="2420" w:type="dxa"/>
                <w:noWrap/>
                <w:hideMark/>
              </w:tcPr>
              <w:p w:rsidR="00DA0DF8" w:rsidRPr="00DA0DF8" w:rsidRDefault="00DA0DF8" w:rsidP="00DA0DF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DA0DF8" w:rsidRPr="00DA0DF8" w:rsidRDefault="00DA0DF8" w:rsidP="00DA0DF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DA0DF8" w:rsidRPr="00DA0DF8" w:rsidTr="00DA0DF8">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DA0DF8" w:rsidRPr="00DA0DF8" w:rsidRDefault="00DA0DF8" w:rsidP="00DA0DF8">
                <w:pPr>
                  <w:rPr>
                    <w:rFonts w:eastAsia="Times New Roman" w:cs="Times New Roman"/>
                    <w:sz w:val="20"/>
                    <w:szCs w:val="20"/>
                    <w:lang w:eastAsia="es-ES"/>
                  </w:rPr>
                </w:pPr>
              </w:p>
            </w:tc>
            <w:tc>
              <w:tcPr>
                <w:tcW w:w="2420"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DA0DF8" w:rsidRPr="00DA0DF8" w:rsidTr="00DA0DF8">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DA0DF8" w:rsidRPr="00DA0DF8" w:rsidRDefault="00DA0DF8" w:rsidP="00DA0DF8">
                <w:pPr>
                  <w:jc w:val="center"/>
                  <w:rPr>
                    <w:rFonts w:eastAsia="Times New Roman" w:cs="Times New Roman"/>
                    <w:sz w:val="20"/>
                    <w:szCs w:val="20"/>
                    <w:lang w:eastAsia="es-ES"/>
                  </w:rPr>
                </w:pPr>
                <w:r w:rsidRPr="00DA0DF8">
                  <w:rPr>
                    <w:rFonts w:eastAsia="Times New Roman" w:cs="Times New Roman"/>
                    <w:sz w:val="20"/>
                    <w:szCs w:val="20"/>
                    <w:lang w:eastAsia="es-ES"/>
                  </w:rPr>
                  <w:t>Índice de potencialidad</w:t>
                </w:r>
              </w:p>
            </w:tc>
            <w:tc>
              <w:tcPr>
                <w:tcW w:w="2420" w:type="dxa"/>
                <w:vMerge w:val="restart"/>
                <w:noWrap/>
                <w:hideMark/>
              </w:tcPr>
              <w:p w:rsidR="00DA0DF8" w:rsidRPr="00DA0DF8" w:rsidRDefault="00DA0DF8" w:rsidP="00DA0DF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DA0DF8">
                  <w:rPr>
                    <w:rFonts w:eastAsia="Times New Roman" w:cs="Times New Roman"/>
                    <w:b/>
                    <w:bCs/>
                    <w:sz w:val="20"/>
                    <w:szCs w:val="20"/>
                    <w:lang w:eastAsia="es-ES"/>
                  </w:rPr>
                  <w:t>Aragón</w:t>
                </w:r>
              </w:p>
            </w:tc>
            <w:tc>
              <w:tcPr>
                <w:tcW w:w="2800" w:type="dxa"/>
                <w:vMerge w:val="restart"/>
                <w:noWrap/>
                <w:hideMark/>
              </w:tcPr>
              <w:p w:rsidR="00DA0DF8" w:rsidRPr="00DA0DF8" w:rsidRDefault="00DA0DF8" w:rsidP="00DA0DF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DA0DF8">
                  <w:rPr>
                    <w:rFonts w:eastAsia="Times New Roman" w:cs="Times New Roman"/>
                    <w:b/>
                    <w:bCs/>
                    <w:sz w:val="20"/>
                    <w:szCs w:val="20"/>
                    <w:lang w:eastAsia="es-ES"/>
                  </w:rPr>
                  <w:t>GAL</w:t>
                </w:r>
              </w:p>
            </w:tc>
          </w:tr>
          <w:tr w:rsidR="00DA0DF8" w:rsidRPr="00DA0DF8" w:rsidTr="00DA0DF8">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DA0DF8" w:rsidRPr="00DA0DF8" w:rsidRDefault="00DA0DF8" w:rsidP="00DA0DF8">
                <w:pPr>
                  <w:rPr>
                    <w:rFonts w:eastAsia="Times New Roman" w:cs="Times New Roman"/>
                    <w:sz w:val="20"/>
                    <w:szCs w:val="20"/>
                    <w:lang w:eastAsia="es-ES"/>
                  </w:rPr>
                </w:pPr>
              </w:p>
            </w:tc>
            <w:tc>
              <w:tcPr>
                <w:tcW w:w="2420" w:type="dxa"/>
                <w:vMerge/>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DA0DF8" w:rsidRPr="00DA0DF8" w:rsidTr="00DA0DF8">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DA0DF8" w:rsidRPr="00DA0DF8" w:rsidRDefault="00DA0DF8" w:rsidP="00DA0DF8">
                <w:pPr>
                  <w:rPr>
                    <w:rFonts w:eastAsia="Times New Roman" w:cs="Times New Roman"/>
                    <w:sz w:val="20"/>
                    <w:szCs w:val="20"/>
                    <w:lang w:eastAsia="es-ES"/>
                  </w:rPr>
                </w:pPr>
              </w:p>
            </w:tc>
            <w:tc>
              <w:tcPr>
                <w:tcW w:w="2420" w:type="dxa"/>
                <w:noWrap/>
                <w:hideMark/>
              </w:tcPr>
              <w:p w:rsidR="00DA0DF8" w:rsidRPr="00DA0DF8" w:rsidRDefault="00DA0DF8" w:rsidP="00DA0DF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DA0DF8">
                  <w:rPr>
                    <w:rFonts w:eastAsia="Times New Roman" w:cs="Times New Roman"/>
                    <w:b/>
                    <w:bCs/>
                    <w:sz w:val="20"/>
                    <w:szCs w:val="20"/>
                    <w:lang w:eastAsia="es-ES"/>
                  </w:rPr>
                  <w:t>77,01%</w:t>
                </w:r>
              </w:p>
            </w:tc>
            <w:tc>
              <w:tcPr>
                <w:tcW w:w="2800" w:type="dxa"/>
                <w:noWrap/>
                <w:hideMark/>
              </w:tcPr>
              <w:p w:rsidR="00DA0DF8" w:rsidRPr="00DA0DF8" w:rsidRDefault="00DA0DF8" w:rsidP="00DA0DF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DA0DF8">
                  <w:rPr>
                    <w:rFonts w:eastAsia="Times New Roman" w:cs="Times New Roman"/>
                    <w:b/>
                    <w:bCs/>
                    <w:sz w:val="20"/>
                    <w:szCs w:val="20"/>
                    <w:lang w:eastAsia="es-ES"/>
                  </w:rPr>
                  <w:t>86,72%</w:t>
                </w:r>
              </w:p>
            </w:tc>
          </w:tr>
          <w:tr w:rsidR="00DA0DF8" w:rsidRPr="00DA0DF8" w:rsidTr="00DA0DF8">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DA0DF8" w:rsidRPr="00DA0DF8" w:rsidRDefault="00DA0DF8" w:rsidP="00DA0DF8">
                <w:pPr>
                  <w:rPr>
                    <w:rFonts w:eastAsia="Times New Roman" w:cs="Times New Roman"/>
                    <w:sz w:val="20"/>
                    <w:szCs w:val="20"/>
                    <w:lang w:eastAsia="es-ES"/>
                  </w:rPr>
                </w:pPr>
                <w:r w:rsidRPr="00DA0DF8">
                  <w:rPr>
                    <w:rFonts w:eastAsia="Times New Roman" w:cs="Times New Roman"/>
                    <w:sz w:val="20"/>
                    <w:szCs w:val="20"/>
                    <w:lang w:eastAsia="es-ES"/>
                  </w:rPr>
                  <w:t>(número mujeres de 20 a 34 entre mujeres de 35 a 49)</w:t>
                </w:r>
              </w:p>
            </w:tc>
            <w:tc>
              <w:tcPr>
                <w:tcW w:w="2420"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DA0DF8" w:rsidRPr="00DA0DF8" w:rsidTr="00DA0DF8">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DA0DF8" w:rsidRPr="00DA0DF8" w:rsidRDefault="00DA0DF8" w:rsidP="00DA0DF8">
                <w:pPr>
                  <w:rPr>
                    <w:rFonts w:eastAsia="Times New Roman" w:cs="Times New Roman"/>
                    <w:sz w:val="20"/>
                    <w:szCs w:val="20"/>
                    <w:lang w:eastAsia="es-ES"/>
                  </w:rPr>
                </w:pPr>
              </w:p>
            </w:tc>
            <w:tc>
              <w:tcPr>
                <w:tcW w:w="2420" w:type="dxa"/>
                <w:noWrap/>
                <w:hideMark/>
              </w:tcPr>
              <w:p w:rsidR="00DA0DF8" w:rsidRPr="00DA0DF8" w:rsidRDefault="00DA0DF8" w:rsidP="00DA0DF8">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DA0DF8" w:rsidRPr="00DA0DF8" w:rsidRDefault="00DA0DF8" w:rsidP="00DA0DF8">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DA0DF8" w:rsidRPr="00DA0DF8" w:rsidTr="00DA0DF8">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DA0DF8" w:rsidRPr="00DA0DF8" w:rsidRDefault="00DA0DF8" w:rsidP="00DA0DF8">
                <w:pPr>
                  <w:rPr>
                    <w:rFonts w:eastAsia="Times New Roman" w:cs="Times New Roman"/>
                    <w:sz w:val="20"/>
                    <w:szCs w:val="20"/>
                    <w:lang w:eastAsia="es-ES"/>
                  </w:rPr>
                </w:pPr>
              </w:p>
            </w:tc>
            <w:tc>
              <w:tcPr>
                <w:tcW w:w="2420" w:type="dxa"/>
                <w:noWrap/>
                <w:hideMark/>
              </w:tcPr>
              <w:p w:rsidR="00DA0DF8" w:rsidRPr="00DA0DF8" w:rsidRDefault="00DA0DF8" w:rsidP="00DA0DF8">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DA0DF8" w:rsidRPr="00DA0DF8" w:rsidRDefault="00DA0DF8" w:rsidP="00DA0DF8">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DA0DF8" w:rsidRPr="00DA0DF8" w:rsidTr="00DA0DF8">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DA0DF8" w:rsidRPr="00DA0DF8" w:rsidRDefault="00DA0DF8" w:rsidP="00DA0DF8">
                <w:pPr>
                  <w:jc w:val="center"/>
                  <w:rPr>
                    <w:rFonts w:eastAsia="Times New Roman" w:cs="Times New Roman"/>
                    <w:sz w:val="20"/>
                    <w:szCs w:val="20"/>
                    <w:lang w:eastAsia="es-ES"/>
                  </w:rPr>
                </w:pPr>
                <w:r w:rsidRPr="00DA0DF8">
                  <w:rPr>
                    <w:rFonts w:eastAsia="Times New Roman" w:cs="Times New Roman"/>
                    <w:sz w:val="20"/>
                    <w:szCs w:val="20"/>
                    <w:lang w:eastAsia="es-ES"/>
                  </w:rPr>
                  <w:t xml:space="preserve">Coeficiente de </w:t>
                </w:r>
                <w:proofErr w:type="spellStart"/>
                <w:r w:rsidRPr="00DA0DF8">
                  <w:rPr>
                    <w:rFonts w:eastAsia="Times New Roman" w:cs="Times New Roman"/>
                    <w:sz w:val="20"/>
                    <w:szCs w:val="20"/>
                    <w:lang w:eastAsia="es-ES"/>
                  </w:rPr>
                  <w:t>sustitucion</w:t>
                </w:r>
                <w:proofErr w:type="spellEnd"/>
              </w:p>
            </w:tc>
            <w:tc>
              <w:tcPr>
                <w:tcW w:w="2420" w:type="dxa"/>
                <w:vMerge w:val="restart"/>
                <w:noWrap/>
                <w:hideMark/>
              </w:tcPr>
              <w:p w:rsidR="00DA0DF8" w:rsidRPr="00DA0DF8" w:rsidRDefault="00DA0DF8" w:rsidP="00DA0DF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DA0DF8">
                  <w:rPr>
                    <w:rFonts w:eastAsia="Times New Roman" w:cs="Times New Roman"/>
                    <w:b/>
                    <w:bCs/>
                    <w:sz w:val="20"/>
                    <w:szCs w:val="20"/>
                    <w:lang w:eastAsia="es-ES"/>
                  </w:rPr>
                  <w:t>Aragón</w:t>
                </w:r>
              </w:p>
            </w:tc>
            <w:tc>
              <w:tcPr>
                <w:tcW w:w="2800" w:type="dxa"/>
                <w:vMerge w:val="restart"/>
                <w:noWrap/>
                <w:hideMark/>
              </w:tcPr>
              <w:p w:rsidR="00DA0DF8" w:rsidRPr="00DA0DF8" w:rsidRDefault="00DA0DF8" w:rsidP="00DA0DF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DA0DF8">
                  <w:rPr>
                    <w:rFonts w:eastAsia="Times New Roman" w:cs="Times New Roman"/>
                    <w:b/>
                    <w:bCs/>
                    <w:sz w:val="20"/>
                    <w:szCs w:val="20"/>
                    <w:lang w:eastAsia="es-ES"/>
                  </w:rPr>
                  <w:t>GAL</w:t>
                </w:r>
              </w:p>
            </w:tc>
          </w:tr>
          <w:tr w:rsidR="00DA0DF8" w:rsidRPr="00DA0DF8" w:rsidTr="00DA0DF8">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DA0DF8" w:rsidRPr="00DA0DF8" w:rsidRDefault="00DA0DF8" w:rsidP="00DA0DF8">
                <w:pPr>
                  <w:rPr>
                    <w:rFonts w:eastAsia="Times New Roman" w:cs="Times New Roman"/>
                    <w:sz w:val="20"/>
                    <w:szCs w:val="20"/>
                    <w:lang w:eastAsia="es-ES"/>
                  </w:rPr>
                </w:pPr>
              </w:p>
            </w:tc>
            <w:tc>
              <w:tcPr>
                <w:tcW w:w="2420" w:type="dxa"/>
                <w:vMerge/>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DA0DF8" w:rsidRPr="00DA0DF8" w:rsidTr="00DA0DF8">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DA0DF8" w:rsidRPr="00DA0DF8" w:rsidRDefault="00DA0DF8" w:rsidP="00DA0DF8">
                <w:pPr>
                  <w:rPr>
                    <w:rFonts w:eastAsia="Times New Roman" w:cs="Times New Roman"/>
                    <w:sz w:val="20"/>
                    <w:szCs w:val="20"/>
                    <w:lang w:eastAsia="es-ES"/>
                  </w:rPr>
                </w:pPr>
              </w:p>
            </w:tc>
            <w:tc>
              <w:tcPr>
                <w:tcW w:w="2420" w:type="dxa"/>
                <w:noWrap/>
                <w:hideMark/>
              </w:tcPr>
              <w:p w:rsidR="00DA0DF8" w:rsidRPr="00DA0DF8" w:rsidRDefault="00DA0DF8" w:rsidP="00DA0DF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DA0DF8">
                  <w:rPr>
                    <w:rFonts w:eastAsia="Times New Roman" w:cs="Times New Roman"/>
                    <w:b/>
                    <w:bCs/>
                    <w:sz w:val="20"/>
                    <w:szCs w:val="20"/>
                    <w:lang w:eastAsia="es-ES"/>
                  </w:rPr>
                  <w:t>80,06%</w:t>
                </w:r>
              </w:p>
            </w:tc>
            <w:tc>
              <w:tcPr>
                <w:tcW w:w="2800" w:type="dxa"/>
                <w:noWrap/>
                <w:hideMark/>
              </w:tcPr>
              <w:p w:rsidR="00DA0DF8" w:rsidRPr="00DA0DF8" w:rsidRDefault="00DA0DF8" w:rsidP="00DA0DF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DA0DF8">
                  <w:rPr>
                    <w:rFonts w:eastAsia="Times New Roman" w:cs="Times New Roman"/>
                    <w:b/>
                    <w:bCs/>
                    <w:sz w:val="20"/>
                    <w:szCs w:val="20"/>
                    <w:lang w:eastAsia="es-ES"/>
                  </w:rPr>
                  <w:t>53,35%</w:t>
                </w:r>
              </w:p>
            </w:tc>
          </w:tr>
          <w:tr w:rsidR="00DA0DF8" w:rsidRPr="00DA0DF8" w:rsidTr="00DA0DF8">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DA0DF8" w:rsidRPr="00DA0DF8" w:rsidRDefault="00DA0DF8" w:rsidP="00DA0DF8">
                <w:pPr>
                  <w:rPr>
                    <w:rFonts w:eastAsia="Times New Roman" w:cs="Times New Roman"/>
                    <w:sz w:val="20"/>
                    <w:szCs w:val="20"/>
                    <w:lang w:eastAsia="es-ES"/>
                  </w:rPr>
                </w:pPr>
                <w:r w:rsidRPr="00DA0DF8">
                  <w:rPr>
                    <w:rFonts w:eastAsia="Times New Roman" w:cs="Times New Roman"/>
                    <w:sz w:val="20"/>
                    <w:szCs w:val="20"/>
                    <w:lang w:eastAsia="es-ES"/>
                  </w:rPr>
                  <w:t>(número de personas de 10 a 14 años entre personas de 60 a 64 años)</w:t>
                </w:r>
              </w:p>
            </w:tc>
            <w:tc>
              <w:tcPr>
                <w:tcW w:w="2420" w:type="dxa"/>
                <w:noWrap/>
                <w:hideMark/>
              </w:tcPr>
              <w:p w:rsidR="00DA0DF8" w:rsidRPr="00DA0DF8" w:rsidRDefault="00DA0DF8" w:rsidP="00DA0DF8">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DA0DF8" w:rsidRPr="00DA0DF8" w:rsidRDefault="00DA0DF8" w:rsidP="00DA0DF8">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bl>
        <w:p w:rsidR="00EE4D4D" w:rsidRPr="00974B32" w:rsidRDefault="00EE4D4D" w:rsidP="00DA6CCE">
          <w:pPr>
            <w:jc w:val="both"/>
            <w:rPr>
              <w:b/>
              <w:sz w:val="24"/>
              <w:szCs w:val="24"/>
            </w:rPr>
          </w:pPr>
        </w:p>
        <w:p w:rsidR="000E24E8" w:rsidRPr="000E24E8" w:rsidRDefault="000E24E8" w:rsidP="00DA6CCE">
          <w:pPr>
            <w:pStyle w:val="Prrafodelista"/>
            <w:numPr>
              <w:ilvl w:val="0"/>
              <w:numId w:val="1"/>
            </w:numPr>
            <w:jc w:val="both"/>
            <w:rPr>
              <w:b/>
              <w:sz w:val="24"/>
              <w:szCs w:val="24"/>
            </w:rPr>
          </w:pPr>
          <w:r>
            <w:rPr>
              <w:b/>
              <w:sz w:val="24"/>
              <w:szCs w:val="24"/>
            </w:rPr>
            <w:t>Movimientos de población.</w:t>
          </w:r>
        </w:p>
        <w:p w:rsidR="000E24E8" w:rsidRDefault="000E24E8" w:rsidP="00DA6CCE">
          <w:pPr>
            <w:pStyle w:val="Prrafodelista"/>
            <w:numPr>
              <w:ilvl w:val="0"/>
              <w:numId w:val="11"/>
            </w:numPr>
            <w:jc w:val="both"/>
            <w:rPr>
              <w:b/>
              <w:sz w:val="24"/>
              <w:szCs w:val="24"/>
            </w:rPr>
          </w:pPr>
          <w:r w:rsidRPr="000E24E8">
            <w:rPr>
              <w:b/>
              <w:sz w:val="24"/>
              <w:szCs w:val="24"/>
            </w:rPr>
            <w:t>Evolución de los nacimientos (2007-2012):</w:t>
          </w:r>
        </w:p>
        <w:p w:rsidR="00EE4D4D" w:rsidRDefault="00DA0DF8" w:rsidP="00DA6CCE">
          <w:pPr>
            <w:ind w:left="142"/>
            <w:jc w:val="both"/>
            <w:rPr>
              <w:b/>
              <w:sz w:val="24"/>
              <w:szCs w:val="24"/>
            </w:rPr>
          </w:pPr>
          <w:r>
            <w:rPr>
              <w:noProof/>
              <w:lang w:eastAsia="es-ES"/>
            </w:rPr>
            <w:drawing>
              <wp:inline distT="0" distB="0" distL="0" distR="0" wp14:anchorId="260BC9D8" wp14:editId="2D4B337E">
                <wp:extent cx="5400040" cy="2668859"/>
                <wp:effectExtent l="0" t="0" r="10160" b="1778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222AC" w:rsidRPr="00974B32" w:rsidRDefault="008222AC" w:rsidP="00DA6CCE">
          <w:pPr>
            <w:ind w:left="142"/>
            <w:jc w:val="both"/>
            <w:rPr>
              <w:b/>
              <w:sz w:val="24"/>
              <w:szCs w:val="24"/>
            </w:rPr>
          </w:pPr>
        </w:p>
        <w:p w:rsidR="007344D7" w:rsidRPr="007344D7" w:rsidRDefault="00C6493A" w:rsidP="00DA6CCE">
          <w:pPr>
            <w:pStyle w:val="Prrafodelista"/>
            <w:numPr>
              <w:ilvl w:val="0"/>
              <w:numId w:val="1"/>
            </w:numPr>
            <w:jc w:val="both"/>
            <w:rPr>
              <w:b/>
              <w:sz w:val="24"/>
              <w:szCs w:val="24"/>
            </w:rPr>
          </w:pPr>
          <w:r w:rsidRPr="00C6493A">
            <w:rPr>
              <w:b/>
              <w:sz w:val="24"/>
              <w:szCs w:val="24"/>
            </w:rPr>
            <w:lastRenderedPageBreak/>
            <w:t>Evolución de las defunciones (2006-2012):</w:t>
          </w:r>
        </w:p>
        <w:p w:rsidR="00B12E0D" w:rsidRDefault="00DA0DF8" w:rsidP="00FA17CC">
          <w:pPr>
            <w:pStyle w:val="Prrafodelista"/>
            <w:ind w:hanging="578"/>
            <w:jc w:val="both"/>
            <w:rPr>
              <w:b/>
              <w:sz w:val="24"/>
              <w:szCs w:val="24"/>
            </w:rPr>
          </w:pPr>
          <w:r>
            <w:rPr>
              <w:noProof/>
              <w:lang w:eastAsia="es-ES"/>
            </w:rPr>
            <w:drawing>
              <wp:inline distT="0" distB="0" distL="0" distR="0" wp14:anchorId="39034250" wp14:editId="4D13D339">
                <wp:extent cx="5400040" cy="2551546"/>
                <wp:effectExtent l="0" t="0" r="10160" b="2032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4D7" w:rsidRPr="007344D7" w:rsidRDefault="007344D7" w:rsidP="00DA6CCE">
          <w:pPr>
            <w:pStyle w:val="Prrafodelista"/>
            <w:jc w:val="both"/>
            <w:rPr>
              <w:b/>
              <w:sz w:val="24"/>
              <w:szCs w:val="24"/>
            </w:rPr>
          </w:pPr>
        </w:p>
        <w:p w:rsidR="00B12E0D" w:rsidRPr="00B01298" w:rsidRDefault="00B50C23" w:rsidP="00DA6CCE">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400" w:type="dxa"/>
            <w:tblLook w:val="04A0" w:firstRow="1" w:lastRow="0" w:firstColumn="1" w:lastColumn="0" w:noHBand="0" w:noVBand="1"/>
          </w:tblPr>
          <w:tblGrid>
            <w:gridCol w:w="3800"/>
            <w:gridCol w:w="1441"/>
            <w:gridCol w:w="1519"/>
            <w:gridCol w:w="1353"/>
            <w:gridCol w:w="1287"/>
          </w:tblGrid>
          <w:tr w:rsidR="00DA0DF8" w:rsidRPr="00DA0DF8" w:rsidTr="00DA0DF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DA0DF8" w:rsidRPr="00DA0DF8" w:rsidRDefault="00DA0DF8" w:rsidP="00DA0DF8">
                <w:pPr>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 </w:t>
                </w:r>
              </w:p>
            </w:tc>
            <w:tc>
              <w:tcPr>
                <w:tcW w:w="2960" w:type="dxa"/>
                <w:gridSpan w:val="2"/>
                <w:noWrap/>
                <w:hideMark/>
              </w:tcPr>
              <w:p w:rsidR="00DA0DF8" w:rsidRPr="00DA0DF8" w:rsidRDefault="00DA0DF8" w:rsidP="00DA0DF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2012</w:t>
                </w:r>
              </w:p>
            </w:tc>
            <w:tc>
              <w:tcPr>
                <w:tcW w:w="2640" w:type="dxa"/>
                <w:gridSpan w:val="2"/>
                <w:noWrap/>
                <w:hideMark/>
              </w:tcPr>
              <w:p w:rsidR="00DA0DF8" w:rsidRPr="00DA0DF8" w:rsidRDefault="00DA0DF8" w:rsidP="00DA0DF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2011</w:t>
                </w:r>
              </w:p>
            </w:tc>
          </w:tr>
          <w:tr w:rsidR="00DA0DF8" w:rsidRPr="00DA0DF8" w:rsidTr="00DA0D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DA0DF8" w:rsidRPr="00DA0DF8" w:rsidRDefault="00DA0DF8" w:rsidP="00DA0DF8">
                <w:pPr>
                  <w:rPr>
                    <w:rFonts w:ascii="Arial" w:eastAsia="Times New Roman" w:hAnsi="Arial" w:cs="Arial"/>
                    <w:sz w:val="16"/>
                    <w:szCs w:val="16"/>
                    <w:lang w:eastAsia="es-ES"/>
                  </w:rPr>
                </w:pPr>
                <w:r w:rsidRPr="00DA0DF8">
                  <w:rPr>
                    <w:rFonts w:ascii="Arial" w:eastAsia="Times New Roman" w:hAnsi="Arial" w:cs="Arial"/>
                    <w:sz w:val="16"/>
                    <w:szCs w:val="16"/>
                    <w:lang w:eastAsia="es-ES"/>
                  </w:rPr>
                  <w:t>Nacidos vivos por cada mil habitantes.</w:t>
                </w:r>
              </w:p>
            </w:tc>
            <w:tc>
              <w:tcPr>
                <w:tcW w:w="1441"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Aragón</w:t>
                </w:r>
              </w:p>
            </w:tc>
            <w:tc>
              <w:tcPr>
                <w:tcW w:w="1519"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GAL</w:t>
                </w:r>
              </w:p>
            </w:tc>
            <w:tc>
              <w:tcPr>
                <w:tcW w:w="1353"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Aragón</w:t>
                </w:r>
              </w:p>
            </w:tc>
            <w:tc>
              <w:tcPr>
                <w:tcW w:w="1287"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GAL</w:t>
                </w:r>
              </w:p>
            </w:tc>
          </w:tr>
          <w:tr w:rsidR="00DA0DF8" w:rsidRPr="00DA0DF8" w:rsidTr="00DA0DF8">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DA0DF8" w:rsidRPr="00DA0DF8" w:rsidRDefault="00DA0DF8" w:rsidP="00DA0DF8">
                <w:pPr>
                  <w:rPr>
                    <w:rFonts w:ascii="Arial" w:eastAsia="Times New Roman" w:hAnsi="Arial" w:cs="Arial"/>
                    <w:sz w:val="16"/>
                    <w:szCs w:val="16"/>
                    <w:lang w:eastAsia="es-ES"/>
                  </w:rPr>
                </w:pPr>
                <w:r w:rsidRPr="00DA0DF8">
                  <w:rPr>
                    <w:rFonts w:ascii="Arial" w:eastAsia="Times New Roman" w:hAnsi="Arial" w:cs="Arial"/>
                    <w:sz w:val="16"/>
                    <w:szCs w:val="16"/>
                    <w:lang w:eastAsia="es-ES"/>
                  </w:rPr>
                  <w:t>Tasa Bruta de Natalidad (‰).</w:t>
                </w:r>
              </w:p>
            </w:tc>
            <w:tc>
              <w:tcPr>
                <w:tcW w:w="1441"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8,878</w:t>
                </w:r>
              </w:p>
            </w:tc>
            <w:tc>
              <w:tcPr>
                <w:tcW w:w="1519"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5,288</w:t>
                </w:r>
              </w:p>
            </w:tc>
            <w:tc>
              <w:tcPr>
                <w:tcW w:w="1353"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9,366</w:t>
                </w:r>
              </w:p>
            </w:tc>
            <w:tc>
              <w:tcPr>
                <w:tcW w:w="1287"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6,624</w:t>
                </w:r>
              </w:p>
            </w:tc>
          </w:tr>
          <w:tr w:rsidR="00DA0DF8" w:rsidRPr="00DA0DF8" w:rsidTr="00DA0D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DA0DF8" w:rsidRPr="00DA0DF8" w:rsidRDefault="00DA0DF8" w:rsidP="00DA0DF8">
                <w:pPr>
                  <w:rPr>
                    <w:rFonts w:ascii="Calibri" w:eastAsia="Times New Roman" w:hAnsi="Calibri" w:cs="Times New Roman"/>
                    <w:color w:val="000000"/>
                    <w:lang w:eastAsia="es-ES"/>
                  </w:rPr>
                </w:pPr>
              </w:p>
            </w:tc>
            <w:tc>
              <w:tcPr>
                <w:tcW w:w="1441"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519"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DA0DF8" w:rsidRPr="00DA0DF8" w:rsidTr="00DA0DF8">
            <w:trPr>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rsidR="00DA0DF8" w:rsidRPr="00DA0DF8" w:rsidRDefault="00DA0DF8" w:rsidP="00DA0DF8">
                <w:pPr>
                  <w:rPr>
                    <w:rFonts w:ascii="Arial" w:eastAsia="Times New Roman" w:hAnsi="Arial" w:cs="Arial"/>
                    <w:sz w:val="16"/>
                    <w:szCs w:val="16"/>
                    <w:lang w:eastAsia="es-ES"/>
                  </w:rPr>
                </w:pPr>
                <w:r w:rsidRPr="00DA0DF8">
                  <w:rPr>
                    <w:rFonts w:ascii="Arial" w:eastAsia="Times New Roman" w:hAnsi="Arial" w:cs="Arial"/>
                    <w:sz w:val="16"/>
                    <w:szCs w:val="16"/>
                    <w:lang w:eastAsia="es-ES"/>
                  </w:rPr>
                  <w:t>Defunciones por cada mil habitantes.</w:t>
                </w:r>
              </w:p>
            </w:tc>
            <w:tc>
              <w:tcPr>
                <w:tcW w:w="1441"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Aragón</w:t>
                </w:r>
              </w:p>
            </w:tc>
            <w:tc>
              <w:tcPr>
                <w:tcW w:w="1519"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GAL</w:t>
                </w:r>
              </w:p>
            </w:tc>
            <w:tc>
              <w:tcPr>
                <w:tcW w:w="1353"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Aragón</w:t>
                </w:r>
              </w:p>
            </w:tc>
            <w:tc>
              <w:tcPr>
                <w:tcW w:w="1287"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GAL</w:t>
                </w:r>
              </w:p>
            </w:tc>
          </w:tr>
          <w:tr w:rsidR="00DA0DF8" w:rsidRPr="00DA0DF8" w:rsidTr="00DA0D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DA0DF8" w:rsidRPr="00DA0DF8" w:rsidRDefault="00DA0DF8" w:rsidP="00DA0DF8">
                <w:pPr>
                  <w:rPr>
                    <w:rFonts w:ascii="Arial" w:eastAsia="Times New Roman" w:hAnsi="Arial" w:cs="Arial"/>
                    <w:sz w:val="16"/>
                    <w:szCs w:val="16"/>
                    <w:lang w:eastAsia="es-ES"/>
                  </w:rPr>
                </w:pPr>
                <w:r w:rsidRPr="00DA0DF8">
                  <w:rPr>
                    <w:rFonts w:ascii="Arial" w:eastAsia="Times New Roman" w:hAnsi="Arial" w:cs="Arial"/>
                    <w:sz w:val="16"/>
                    <w:szCs w:val="16"/>
                    <w:lang w:eastAsia="es-ES"/>
                  </w:rPr>
                  <w:t>Tasa Bruta de Mortalidad (‰).</w:t>
                </w:r>
              </w:p>
            </w:tc>
            <w:tc>
              <w:tcPr>
                <w:tcW w:w="1441"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10,170</w:t>
                </w:r>
              </w:p>
            </w:tc>
            <w:tc>
              <w:tcPr>
                <w:tcW w:w="1519"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15,325</w:t>
                </w:r>
              </w:p>
            </w:tc>
            <w:tc>
              <w:tcPr>
                <w:tcW w:w="1353"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10,067</w:t>
                </w:r>
              </w:p>
            </w:tc>
            <w:tc>
              <w:tcPr>
                <w:tcW w:w="1287"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14,219</w:t>
                </w:r>
              </w:p>
            </w:tc>
          </w:tr>
          <w:tr w:rsidR="00DA0DF8" w:rsidRPr="00DA0DF8" w:rsidTr="00DA0DF8">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DA0DF8" w:rsidRPr="00DA0DF8" w:rsidRDefault="00DA0DF8" w:rsidP="00DA0DF8">
                <w:pPr>
                  <w:rPr>
                    <w:rFonts w:ascii="Calibri" w:eastAsia="Times New Roman" w:hAnsi="Calibri" w:cs="Times New Roman"/>
                    <w:color w:val="000000"/>
                    <w:lang w:eastAsia="es-ES"/>
                  </w:rPr>
                </w:pPr>
              </w:p>
            </w:tc>
            <w:tc>
              <w:tcPr>
                <w:tcW w:w="1441"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519"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r>
          <w:tr w:rsidR="00DA0DF8" w:rsidRPr="00DA0DF8" w:rsidTr="00DA0DF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00" w:type="dxa"/>
                <w:hideMark/>
              </w:tcPr>
              <w:p w:rsidR="00DA0DF8" w:rsidRPr="00DA0DF8" w:rsidRDefault="00DA0DF8" w:rsidP="00DA0DF8">
                <w:pPr>
                  <w:rPr>
                    <w:rFonts w:ascii="Arial" w:eastAsia="Times New Roman" w:hAnsi="Arial" w:cs="Arial"/>
                    <w:sz w:val="16"/>
                    <w:szCs w:val="16"/>
                    <w:lang w:eastAsia="es-ES"/>
                  </w:rPr>
                </w:pPr>
                <w:r w:rsidRPr="00DA0DF8">
                  <w:rPr>
                    <w:rFonts w:ascii="Arial" w:eastAsia="Times New Roman" w:hAnsi="Arial" w:cs="Arial"/>
                    <w:sz w:val="16"/>
                    <w:szCs w:val="16"/>
                    <w:lang w:eastAsia="es-ES"/>
                  </w:rPr>
                  <w:t>Saldo vegetativo (nacimientos menos defunciones) por cada mil habitantes.</w:t>
                </w:r>
              </w:p>
            </w:tc>
            <w:tc>
              <w:tcPr>
                <w:tcW w:w="1441"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Aragón</w:t>
                </w:r>
              </w:p>
            </w:tc>
            <w:tc>
              <w:tcPr>
                <w:tcW w:w="1519"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GAL</w:t>
                </w:r>
              </w:p>
            </w:tc>
            <w:tc>
              <w:tcPr>
                <w:tcW w:w="1353"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Aragón</w:t>
                </w:r>
              </w:p>
            </w:tc>
            <w:tc>
              <w:tcPr>
                <w:tcW w:w="1287"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GAL</w:t>
                </w:r>
              </w:p>
            </w:tc>
          </w:tr>
          <w:tr w:rsidR="00DA0DF8" w:rsidRPr="00DA0DF8" w:rsidTr="00DA0DF8">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DA0DF8" w:rsidRPr="00DA0DF8" w:rsidRDefault="00DA0DF8" w:rsidP="00DA0DF8">
                <w:pPr>
                  <w:rPr>
                    <w:rFonts w:ascii="Arial" w:eastAsia="Times New Roman" w:hAnsi="Arial" w:cs="Arial"/>
                    <w:sz w:val="16"/>
                    <w:szCs w:val="16"/>
                    <w:lang w:eastAsia="es-ES"/>
                  </w:rPr>
                </w:pPr>
                <w:r w:rsidRPr="00DA0DF8">
                  <w:rPr>
                    <w:rFonts w:ascii="Arial" w:eastAsia="Times New Roman" w:hAnsi="Arial" w:cs="Arial"/>
                    <w:sz w:val="16"/>
                    <w:szCs w:val="16"/>
                    <w:lang w:eastAsia="es-ES"/>
                  </w:rPr>
                  <w:t>Tasa Bruta de Crecimiento Vegetativo (‰)</w:t>
                </w:r>
              </w:p>
            </w:tc>
            <w:tc>
              <w:tcPr>
                <w:tcW w:w="1441"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-1,292</w:t>
                </w:r>
              </w:p>
            </w:tc>
            <w:tc>
              <w:tcPr>
                <w:tcW w:w="1519"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-10,038</w:t>
                </w:r>
              </w:p>
            </w:tc>
            <w:tc>
              <w:tcPr>
                <w:tcW w:w="1353"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-0,700</w:t>
                </w:r>
              </w:p>
            </w:tc>
            <w:tc>
              <w:tcPr>
                <w:tcW w:w="1287"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-7,595</w:t>
                </w:r>
              </w:p>
            </w:tc>
          </w:tr>
          <w:tr w:rsidR="00DA0DF8" w:rsidRPr="00DA0DF8" w:rsidTr="00DA0D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DA0DF8" w:rsidRPr="00DA0DF8" w:rsidRDefault="00DA0DF8" w:rsidP="00DA0DF8">
                <w:pPr>
                  <w:rPr>
                    <w:rFonts w:ascii="Calibri" w:eastAsia="Times New Roman" w:hAnsi="Calibri" w:cs="Times New Roman"/>
                    <w:color w:val="000000"/>
                    <w:lang w:eastAsia="es-ES"/>
                  </w:rPr>
                </w:pPr>
              </w:p>
            </w:tc>
            <w:tc>
              <w:tcPr>
                <w:tcW w:w="1441"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519"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DA0DF8" w:rsidRPr="00DA0DF8" w:rsidTr="00DA0DF8">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DA0DF8" w:rsidRPr="00DA0DF8" w:rsidRDefault="00DA0DF8" w:rsidP="00DA0DF8">
                <w:pPr>
                  <w:rPr>
                    <w:rFonts w:ascii="Arial" w:eastAsia="Times New Roman" w:hAnsi="Arial" w:cs="Arial"/>
                    <w:sz w:val="16"/>
                    <w:szCs w:val="16"/>
                    <w:lang w:eastAsia="es-ES"/>
                  </w:rPr>
                </w:pPr>
                <w:r w:rsidRPr="00DA0DF8">
                  <w:rPr>
                    <w:rFonts w:ascii="Arial" w:eastAsia="Times New Roman" w:hAnsi="Arial" w:cs="Arial"/>
                    <w:sz w:val="16"/>
                    <w:szCs w:val="16"/>
                    <w:lang w:eastAsia="es-ES"/>
                  </w:rPr>
                  <w:t>Matrimonios por cada mil habitantes.</w:t>
                </w:r>
              </w:p>
            </w:tc>
            <w:tc>
              <w:tcPr>
                <w:tcW w:w="1441"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Aragón</w:t>
                </w:r>
              </w:p>
            </w:tc>
            <w:tc>
              <w:tcPr>
                <w:tcW w:w="1519"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GAL</w:t>
                </w:r>
              </w:p>
            </w:tc>
            <w:tc>
              <w:tcPr>
                <w:tcW w:w="1353"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Aragón</w:t>
                </w:r>
              </w:p>
            </w:tc>
            <w:tc>
              <w:tcPr>
                <w:tcW w:w="1287" w:type="dxa"/>
                <w:noWrap/>
                <w:hideMark/>
              </w:tcPr>
              <w:p w:rsidR="00DA0DF8" w:rsidRPr="00DA0DF8" w:rsidRDefault="00DA0DF8" w:rsidP="00DA0D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GAL</w:t>
                </w:r>
              </w:p>
            </w:tc>
          </w:tr>
          <w:tr w:rsidR="00DA0DF8" w:rsidRPr="00DA0DF8" w:rsidTr="00DA0D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DA0DF8" w:rsidRPr="00DA0DF8" w:rsidRDefault="00DA0DF8" w:rsidP="00DA0DF8">
                <w:pPr>
                  <w:rPr>
                    <w:rFonts w:ascii="Arial" w:eastAsia="Times New Roman" w:hAnsi="Arial" w:cs="Arial"/>
                    <w:sz w:val="16"/>
                    <w:szCs w:val="16"/>
                    <w:lang w:eastAsia="es-ES"/>
                  </w:rPr>
                </w:pPr>
                <w:r w:rsidRPr="00DA0DF8">
                  <w:rPr>
                    <w:rFonts w:ascii="Arial" w:eastAsia="Times New Roman" w:hAnsi="Arial" w:cs="Arial"/>
                    <w:sz w:val="16"/>
                    <w:szCs w:val="16"/>
                    <w:lang w:eastAsia="es-ES"/>
                  </w:rPr>
                  <w:t>Tasa Bruta de Nupcialidad (‰).</w:t>
                </w:r>
              </w:p>
            </w:tc>
            <w:tc>
              <w:tcPr>
                <w:tcW w:w="1441"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3,492</w:t>
                </w:r>
              </w:p>
            </w:tc>
            <w:tc>
              <w:tcPr>
                <w:tcW w:w="1519"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2,599</w:t>
                </w:r>
              </w:p>
            </w:tc>
            <w:tc>
              <w:tcPr>
                <w:tcW w:w="1353"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3,205</w:t>
                </w:r>
              </w:p>
            </w:tc>
            <w:tc>
              <w:tcPr>
                <w:tcW w:w="1287" w:type="dxa"/>
                <w:noWrap/>
                <w:hideMark/>
              </w:tcPr>
              <w:p w:rsidR="00DA0DF8" w:rsidRPr="00DA0DF8" w:rsidRDefault="00DA0DF8" w:rsidP="00DA0D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A0DF8">
                  <w:rPr>
                    <w:rFonts w:ascii="Calibri" w:eastAsia="Times New Roman" w:hAnsi="Calibri" w:cs="Times New Roman"/>
                    <w:color w:val="000000"/>
                    <w:lang w:eastAsia="es-ES"/>
                  </w:rPr>
                  <w:t>1,678</w:t>
                </w:r>
              </w:p>
            </w:tc>
          </w:tr>
        </w:tbl>
        <w:p w:rsidR="00B50C23" w:rsidRDefault="00B50C23" w:rsidP="00DA6CCE">
          <w:pPr>
            <w:jc w:val="both"/>
            <w:rPr>
              <w:b/>
            </w:rPr>
          </w:pPr>
        </w:p>
        <w:p w:rsidR="00B50C23" w:rsidRDefault="00B50C23" w:rsidP="00DA6CCE">
          <w:pPr>
            <w:pStyle w:val="Prrafodelista"/>
            <w:numPr>
              <w:ilvl w:val="0"/>
              <w:numId w:val="1"/>
            </w:numPr>
            <w:jc w:val="both"/>
            <w:rPr>
              <w:b/>
              <w:sz w:val="24"/>
              <w:szCs w:val="24"/>
            </w:rPr>
          </w:pPr>
          <w:r w:rsidRPr="00B50C23">
            <w:rPr>
              <w:b/>
              <w:sz w:val="24"/>
              <w:szCs w:val="24"/>
            </w:rPr>
            <w:t>Movimientos de población según cambio de residencia:</w:t>
          </w:r>
        </w:p>
        <w:p w:rsidR="00AF7330" w:rsidRPr="00106908" w:rsidRDefault="00DA0DF8" w:rsidP="00190C45">
          <w:pPr>
            <w:pStyle w:val="Prrafodelista"/>
            <w:jc w:val="center"/>
            <w:rPr>
              <w:b/>
              <w:sz w:val="24"/>
              <w:szCs w:val="24"/>
            </w:rPr>
          </w:pPr>
          <w:r>
            <w:rPr>
              <w:noProof/>
              <w:lang w:eastAsia="es-ES"/>
            </w:rPr>
            <w:drawing>
              <wp:inline distT="0" distB="0" distL="0" distR="0" wp14:anchorId="0C9B1B96" wp14:editId="357DEFDB">
                <wp:extent cx="4795520" cy="2286000"/>
                <wp:effectExtent l="0" t="0" r="24130"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7330" w:rsidRPr="00EE4D4D" w:rsidRDefault="00AF7330" w:rsidP="00DA6CCE">
          <w:pPr>
            <w:pStyle w:val="Prrafodelista"/>
            <w:jc w:val="both"/>
            <w:rPr>
              <w:b/>
              <w:sz w:val="24"/>
              <w:szCs w:val="24"/>
            </w:rPr>
          </w:pPr>
        </w:p>
        <w:p w:rsidR="00E87CD9" w:rsidRDefault="00E87CD9" w:rsidP="00DA6CCE">
          <w:pPr>
            <w:pStyle w:val="Prrafodelista"/>
            <w:numPr>
              <w:ilvl w:val="0"/>
              <w:numId w:val="1"/>
            </w:numPr>
            <w:jc w:val="both"/>
            <w:rPr>
              <w:b/>
              <w:sz w:val="24"/>
              <w:szCs w:val="24"/>
            </w:rPr>
          </w:pPr>
          <w:r w:rsidRPr="00E87CD9">
            <w:rPr>
              <w:b/>
              <w:sz w:val="24"/>
              <w:szCs w:val="24"/>
            </w:rPr>
            <w:lastRenderedPageBreak/>
            <w:t>Porcentaje de llegada de hombres y mujeres extranjeros:</w:t>
          </w:r>
        </w:p>
        <w:p w:rsidR="00E87CD9" w:rsidRPr="00E87CD9" w:rsidRDefault="00E87CD9" w:rsidP="00DA6CCE">
          <w:pPr>
            <w:pStyle w:val="Prrafodelista"/>
            <w:jc w:val="both"/>
            <w:rPr>
              <w:b/>
              <w:sz w:val="24"/>
              <w:szCs w:val="24"/>
            </w:rPr>
          </w:pPr>
        </w:p>
        <w:p w:rsidR="00E87CD9" w:rsidRDefault="00DA0DF8" w:rsidP="00106908">
          <w:pPr>
            <w:pStyle w:val="Prrafodelista"/>
            <w:ind w:left="142" w:right="-568"/>
            <w:jc w:val="both"/>
            <w:rPr>
              <w:b/>
              <w:sz w:val="24"/>
              <w:szCs w:val="24"/>
            </w:rPr>
          </w:pPr>
          <w:r>
            <w:rPr>
              <w:b/>
              <w:noProof/>
              <w:sz w:val="24"/>
              <w:szCs w:val="24"/>
              <w:lang w:eastAsia="es-ES"/>
            </w:rPr>
            <w:drawing>
              <wp:inline distT="0" distB="0" distL="0" distR="0" wp14:anchorId="3B677E66" wp14:editId="0C68E0BB">
                <wp:extent cx="2712720" cy="1503680"/>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2720" cy="1503680"/>
                        </a:xfrm>
                        <a:prstGeom prst="rect">
                          <a:avLst/>
                        </a:prstGeom>
                        <a:noFill/>
                      </pic:spPr>
                    </pic:pic>
                  </a:graphicData>
                </a:graphic>
              </wp:inline>
            </w:drawing>
          </w:r>
          <w:r>
            <w:rPr>
              <w:b/>
              <w:noProof/>
              <w:sz w:val="24"/>
              <w:szCs w:val="24"/>
              <w:lang w:eastAsia="es-ES"/>
            </w:rPr>
            <w:drawing>
              <wp:inline distT="0" distB="0" distL="0" distR="0" wp14:anchorId="2E8218F6" wp14:editId="50046397">
                <wp:extent cx="2479040" cy="1503394"/>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1610" cy="1504953"/>
                        </a:xfrm>
                        <a:prstGeom prst="rect">
                          <a:avLst/>
                        </a:prstGeom>
                        <a:noFill/>
                      </pic:spPr>
                    </pic:pic>
                  </a:graphicData>
                </a:graphic>
              </wp:inline>
            </w:drawing>
          </w:r>
        </w:p>
        <w:p w:rsidR="00974B32" w:rsidRDefault="00974B32"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974B32" w:rsidRDefault="00974B32" w:rsidP="00DA6CCE">
          <w:pPr>
            <w:pStyle w:val="Prrafodelista"/>
            <w:jc w:val="both"/>
            <w:rPr>
              <w:b/>
              <w:sz w:val="24"/>
              <w:szCs w:val="24"/>
            </w:rPr>
          </w:pPr>
          <w:r>
            <w:rPr>
              <w:b/>
              <w:noProof/>
              <w:sz w:val="24"/>
              <w:szCs w:val="24"/>
              <w:lang w:eastAsia="es-ES"/>
            </w:rPr>
            <w:lastRenderedPageBreak/>
            <mc:AlternateContent>
              <mc:Choice Requires="wps">
                <w:drawing>
                  <wp:anchor distT="0" distB="0" distL="114300" distR="114300" simplePos="0" relativeHeight="251662336" behindDoc="0" locked="0" layoutInCell="1" allowOverlap="1" wp14:anchorId="536D89F8" wp14:editId="2C52E170">
                    <wp:simplePos x="0" y="0"/>
                    <wp:positionH relativeFrom="column">
                      <wp:posOffset>352425</wp:posOffset>
                    </wp:positionH>
                    <wp:positionV relativeFrom="paragraph">
                      <wp:posOffset>2540</wp:posOffset>
                    </wp:positionV>
                    <wp:extent cx="1516380" cy="419100"/>
                    <wp:effectExtent l="76200" t="38100" r="102870" b="114300"/>
                    <wp:wrapNone/>
                    <wp:docPr id="5" name="5 Rectángulo redondeado"/>
                    <wp:cNvGraphicFramePr/>
                    <a:graphic xmlns:a="http://schemas.openxmlformats.org/drawingml/2006/main">
                      <a:graphicData uri="http://schemas.microsoft.com/office/word/2010/wordprocessingShape">
                        <wps:wsp>
                          <wps:cNvSpPr/>
                          <wps:spPr>
                            <a:xfrm>
                              <a:off x="0" y="0"/>
                              <a:ext cx="1516380" cy="41910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74B32" w:rsidRPr="00974B32" w:rsidRDefault="00974B32" w:rsidP="00974B32">
                                <w:pPr>
                                  <w:jc w:val="center"/>
                                  <w:rPr>
                                    <w:b/>
                                    <w:sz w:val="28"/>
                                    <w:szCs w:val="28"/>
                                  </w:rPr>
                                </w:pPr>
                                <w:r w:rsidRPr="00974B32">
                                  <w:rPr>
                                    <w:b/>
                                    <w:sz w:val="28"/>
                                    <w:szCs w:val="28"/>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8" style="position:absolute;left:0;text-align:left;margin-left:27.75pt;margin-top:.2pt;width:119.4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" fillcolor="#8064a2 [3207]" stroked="f" strokeweight="2pt">
                    <v:shadow on="t" color="black" opacity="20971f" offset="0,2.2pt"/>
                    <v:textbox>
                      <w:txbxContent>
                        <w:p w:rsidR="00974B32" w:rsidRPr="00974B32" w:rsidRDefault="00974B32" w:rsidP="00974B32">
                          <w:pPr>
                            <w:jc w:val="center"/>
                            <w:rPr>
                              <w:b/>
                              <w:sz w:val="28"/>
                              <w:szCs w:val="28"/>
                            </w:rPr>
                          </w:pPr>
                          <w:r w:rsidRPr="00974B32">
                            <w:rPr>
                              <w:b/>
                              <w:sz w:val="28"/>
                              <w:szCs w:val="28"/>
                            </w:rPr>
                            <w:t>ECONOMÍA</w:t>
                          </w:r>
                        </w:p>
                      </w:txbxContent>
                    </v:textbox>
                  </v:roundrect>
                </w:pict>
              </mc:Fallback>
            </mc:AlternateContent>
          </w:r>
        </w:p>
        <w:p w:rsidR="00183475" w:rsidRDefault="005F110C" w:rsidP="00DA6CCE">
          <w:pPr>
            <w:tabs>
              <w:tab w:val="left" w:pos="3456"/>
            </w:tabs>
            <w:ind w:firstLine="708"/>
            <w:jc w:val="both"/>
          </w:pPr>
          <w:r>
            <w:tab/>
          </w:r>
        </w:p>
        <w:p w:rsidR="00C6493A" w:rsidRDefault="005F110C" w:rsidP="00DA6CCE">
          <w:pPr>
            <w:pStyle w:val="Prrafodelista"/>
            <w:numPr>
              <w:ilvl w:val="0"/>
              <w:numId w:val="1"/>
            </w:numPr>
            <w:tabs>
              <w:tab w:val="left" w:pos="3456"/>
            </w:tabs>
            <w:jc w:val="both"/>
            <w:rPr>
              <w:b/>
            </w:rPr>
          </w:pPr>
          <w:r w:rsidRPr="005F110C">
            <w:rPr>
              <w:b/>
            </w:rPr>
            <w:t>Porcentaje de actividades económicas por sector de actividad</w:t>
          </w:r>
          <w:r w:rsidR="003729DC">
            <w:rPr>
              <w:b/>
            </w:rPr>
            <w:t xml:space="preserve"> (2012)</w:t>
          </w:r>
        </w:p>
        <w:p w:rsidR="00424122" w:rsidRDefault="00424122" w:rsidP="00DA6CCE">
          <w:pPr>
            <w:pStyle w:val="Prrafodelista"/>
            <w:tabs>
              <w:tab w:val="left" w:pos="3456"/>
            </w:tabs>
            <w:jc w:val="both"/>
            <w:rPr>
              <w:b/>
            </w:rPr>
          </w:pPr>
        </w:p>
        <w:p w:rsidR="007A3D6C" w:rsidRDefault="00055955" w:rsidP="00DA6CCE">
          <w:pPr>
            <w:pStyle w:val="Prrafodelista"/>
            <w:tabs>
              <w:tab w:val="left" w:pos="3456"/>
            </w:tabs>
            <w:ind w:left="284"/>
            <w:jc w:val="both"/>
            <w:rPr>
              <w:b/>
            </w:rPr>
          </w:pPr>
          <w:r>
            <w:rPr>
              <w:noProof/>
              <w:lang w:eastAsia="es-ES"/>
            </w:rPr>
            <w:drawing>
              <wp:inline distT="0" distB="0" distL="0" distR="0" wp14:anchorId="029F4036" wp14:editId="326F05C6">
                <wp:extent cx="5405120" cy="3149600"/>
                <wp:effectExtent l="0" t="0" r="24130" b="1270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48A7" w:rsidRPr="00EC5221" w:rsidRDefault="002748A7" w:rsidP="00DA6CCE">
          <w:pPr>
            <w:pStyle w:val="Prrafodelista"/>
            <w:tabs>
              <w:tab w:val="left" w:pos="3456"/>
            </w:tabs>
            <w:ind w:left="284"/>
            <w:jc w:val="both"/>
            <w:rPr>
              <w:b/>
            </w:rPr>
          </w:pPr>
        </w:p>
        <w:p w:rsidR="007A3D6C" w:rsidRPr="002748A7" w:rsidRDefault="007A3D6C" w:rsidP="002748A7">
          <w:pPr>
            <w:pStyle w:val="Prrafodelista"/>
            <w:numPr>
              <w:ilvl w:val="0"/>
              <w:numId w:val="1"/>
            </w:numPr>
            <w:tabs>
              <w:tab w:val="left" w:pos="3456"/>
            </w:tabs>
            <w:jc w:val="both"/>
            <w:rPr>
              <w:b/>
            </w:rPr>
          </w:pPr>
          <w:r>
            <w:rPr>
              <w:b/>
            </w:rPr>
            <w:t>Evolución de las actividades económicas durante el periodo 2011-2012:</w:t>
          </w:r>
        </w:p>
        <w:p w:rsidR="008222AC" w:rsidRDefault="008222AC" w:rsidP="00DA6CCE">
          <w:pPr>
            <w:pStyle w:val="Prrafodelista"/>
            <w:tabs>
              <w:tab w:val="left" w:pos="3456"/>
            </w:tabs>
            <w:jc w:val="both"/>
            <w:rPr>
              <w:b/>
            </w:rPr>
          </w:pPr>
        </w:p>
        <w:p w:rsidR="008222AC" w:rsidRDefault="00055955" w:rsidP="002748A7">
          <w:pPr>
            <w:pStyle w:val="Prrafodelista"/>
            <w:tabs>
              <w:tab w:val="left" w:pos="3456"/>
            </w:tabs>
            <w:ind w:left="284"/>
            <w:jc w:val="both"/>
            <w:rPr>
              <w:b/>
            </w:rPr>
          </w:pPr>
          <w:r>
            <w:rPr>
              <w:noProof/>
              <w:lang w:eastAsia="es-ES"/>
            </w:rPr>
            <w:drawing>
              <wp:inline distT="0" distB="0" distL="0" distR="0" wp14:anchorId="683D5293" wp14:editId="1395B37D">
                <wp:extent cx="5405120" cy="3027680"/>
                <wp:effectExtent l="0" t="0" r="24130" b="2032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274D8" w:rsidRPr="002748A7" w:rsidRDefault="008274D8" w:rsidP="002748A7">
          <w:pPr>
            <w:pStyle w:val="Prrafodelista"/>
            <w:tabs>
              <w:tab w:val="left" w:pos="3456"/>
            </w:tabs>
            <w:ind w:left="284"/>
            <w:jc w:val="both"/>
            <w:rPr>
              <w:b/>
            </w:rPr>
          </w:pPr>
        </w:p>
        <w:p w:rsidR="00A84D47" w:rsidRDefault="00A84D47" w:rsidP="00DA6CCE">
          <w:pPr>
            <w:pStyle w:val="Prrafodelista"/>
            <w:tabs>
              <w:tab w:val="left" w:pos="3456"/>
            </w:tabs>
            <w:jc w:val="both"/>
            <w:rPr>
              <w:b/>
            </w:rPr>
          </w:pPr>
        </w:p>
        <w:p w:rsidR="009E04F8" w:rsidRDefault="009E04F8" w:rsidP="00DA6CCE">
          <w:pPr>
            <w:pStyle w:val="Prrafodelista"/>
            <w:tabs>
              <w:tab w:val="left" w:pos="3456"/>
            </w:tabs>
            <w:jc w:val="both"/>
            <w:rPr>
              <w:b/>
            </w:rPr>
          </w:pPr>
        </w:p>
        <w:p w:rsidR="00055955" w:rsidRDefault="00055955" w:rsidP="00DA6CCE">
          <w:pPr>
            <w:pStyle w:val="Prrafodelista"/>
            <w:tabs>
              <w:tab w:val="left" w:pos="3456"/>
            </w:tabs>
            <w:jc w:val="both"/>
            <w:rPr>
              <w:b/>
            </w:rPr>
          </w:pPr>
        </w:p>
        <w:p w:rsidR="00055955" w:rsidRDefault="00055955" w:rsidP="00DA6CCE">
          <w:pPr>
            <w:pStyle w:val="Prrafodelista"/>
            <w:tabs>
              <w:tab w:val="left" w:pos="3456"/>
            </w:tabs>
            <w:jc w:val="both"/>
            <w:rPr>
              <w:b/>
            </w:rPr>
          </w:pPr>
        </w:p>
        <w:p w:rsidR="00B56B75" w:rsidRDefault="00B56B75" w:rsidP="00DA6CCE">
          <w:pPr>
            <w:pStyle w:val="Prrafodelista"/>
            <w:numPr>
              <w:ilvl w:val="0"/>
              <w:numId w:val="1"/>
            </w:numPr>
            <w:jc w:val="both"/>
            <w:rPr>
              <w:b/>
            </w:rPr>
          </w:pPr>
          <w:r w:rsidRPr="00984B58">
            <w:rPr>
              <w:b/>
            </w:rPr>
            <w:lastRenderedPageBreak/>
            <w:t xml:space="preserve">Estructura de altas en la seguridad social por sexo y grupos de edad (Septiembre 2014) </w:t>
          </w:r>
        </w:p>
        <w:p w:rsidR="00A84D47" w:rsidRDefault="00055955" w:rsidP="00DA6CCE">
          <w:pPr>
            <w:pStyle w:val="Prrafodelista"/>
            <w:tabs>
              <w:tab w:val="left" w:pos="3456"/>
            </w:tabs>
            <w:ind w:left="0"/>
            <w:jc w:val="both"/>
            <w:rPr>
              <w:b/>
            </w:rPr>
          </w:pPr>
          <w:r>
            <w:rPr>
              <w:noProof/>
              <w:lang w:eastAsia="es-ES"/>
            </w:rPr>
            <w:drawing>
              <wp:inline distT="0" distB="0" distL="0" distR="0" wp14:anchorId="71136CF7" wp14:editId="11484688">
                <wp:extent cx="5811520" cy="3322320"/>
                <wp:effectExtent l="0" t="0" r="17780" b="1143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22AC" w:rsidRDefault="008222AC"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E562F3">
            <w:rPr>
              <w:b/>
            </w:rPr>
            <w:t>E</w:t>
          </w:r>
          <w:r>
            <w:rPr>
              <w:b/>
            </w:rPr>
            <w:t xml:space="preserve">structura de altas en la seguridad social por sexo y grupos de edad (Junio 2014) </w:t>
          </w:r>
        </w:p>
        <w:p w:rsidR="00B56B75" w:rsidRDefault="00B56B75" w:rsidP="00DA6CCE">
          <w:pPr>
            <w:pStyle w:val="Prrafodelista"/>
            <w:jc w:val="both"/>
            <w:rPr>
              <w:b/>
            </w:rPr>
          </w:pPr>
        </w:p>
        <w:p w:rsidR="00B56B75" w:rsidRDefault="00055955" w:rsidP="00DA6CCE">
          <w:pPr>
            <w:pStyle w:val="Prrafodelista"/>
            <w:tabs>
              <w:tab w:val="left" w:pos="3456"/>
            </w:tabs>
            <w:ind w:left="0"/>
            <w:jc w:val="both"/>
            <w:rPr>
              <w:b/>
            </w:rPr>
          </w:pPr>
          <w:r>
            <w:rPr>
              <w:noProof/>
              <w:lang w:eastAsia="es-ES"/>
            </w:rPr>
            <w:drawing>
              <wp:inline distT="0" distB="0" distL="0" distR="0" wp14:anchorId="1CC67A31" wp14:editId="054A78C7">
                <wp:extent cx="5811520" cy="3810000"/>
                <wp:effectExtent l="0" t="0" r="17780" b="190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967B27">
            <w:rPr>
              <w:b/>
            </w:rPr>
            <w:t xml:space="preserve">Total de altas en la seguridad social por actividad, agrupado por grupo y régimen (Junio 2014).  </w:t>
          </w:r>
        </w:p>
        <w:p w:rsidR="00B56B75" w:rsidRPr="00967B27" w:rsidRDefault="00B56B75" w:rsidP="00DA6CCE">
          <w:pPr>
            <w:pStyle w:val="Prrafodelista"/>
            <w:jc w:val="both"/>
            <w:rPr>
              <w:b/>
            </w:rPr>
          </w:pPr>
        </w:p>
        <w:p w:rsidR="00B56B75" w:rsidRDefault="00055955" w:rsidP="00DA6CCE">
          <w:pPr>
            <w:pStyle w:val="Prrafodelista"/>
            <w:tabs>
              <w:tab w:val="left" w:pos="3456"/>
            </w:tabs>
            <w:ind w:left="0"/>
            <w:jc w:val="both"/>
            <w:rPr>
              <w:b/>
            </w:rPr>
          </w:pPr>
          <w:r>
            <w:rPr>
              <w:noProof/>
              <w:lang w:eastAsia="es-ES"/>
            </w:rPr>
            <w:drawing>
              <wp:inline distT="0" distB="0" distL="0" distR="0" wp14:anchorId="15082F01" wp14:editId="7600027E">
                <wp:extent cx="5811520" cy="3484880"/>
                <wp:effectExtent l="0" t="0" r="17780" b="2032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001DA8">
            <w:rPr>
              <w:b/>
            </w:rPr>
            <w:t xml:space="preserve">Altas por sexo </w:t>
          </w:r>
          <w:r>
            <w:rPr>
              <w:b/>
            </w:rPr>
            <w:t>agrupados en</w:t>
          </w:r>
          <w:r w:rsidRPr="00001DA8">
            <w:rPr>
              <w:b/>
            </w:rPr>
            <w:t xml:space="preserve"> grupos y régimen de cotización (Septiembre 2014) </w:t>
          </w:r>
        </w:p>
        <w:p w:rsidR="009E04F8" w:rsidRPr="00001DA8" w:rsidRDefault="009E04F8" w:rsidP="009E04F8">
          <w:pPr>
            <w:pStyle w:val="Prrafodelista"/>
            <w:jc w:val="both"/>
            <w:rPr>
              <w:b/>
            </w:rPr>
          </w:pPr>
        </w:p>
        <w:p w:rsidR="00B56B75" w:rsidRDefault="00055955" w:rsidP="00DA6CCE">
          <w:pPr>
            <w:pStyle w:val="Prrafodelista"/>
            <w:tabs>
              <w:tab w:val="left" w:pos="3456"/>
            </w:tabs>
            <w:ind w:left="0"/>
            <w:jc w:val="both"/>
            <w:rPr>
              <w:b/>
            </w:rPr>
          </w:pPr>
          <w:r>
            <w:rPr>
              <w:noProof/>
              <w:lang w:eastAsia="es-ES"/>
            </w:rPr>
            <w:drawing>
              <wp:inline distT="0" distB="0" distL="0" distR="0" wp14:anchorId="796C8066" wp14:editId="5286C728">
                <wp:extent cx="5811520" cy="3454400"/>
                <wp:effectExtent l="0" t="0" r="17780" b="1270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56B75" w:rsidRDefault="00B56B75" w:rsidP="00DA6CCE">
          <w:pPr>
            <w:pStyle w:val="Prrafodelista"/>
            <w:tabs>
              <w:tab w:val="left" w:pos="3456"/>
            </w:tabs>
            <w:ind w:left="0"/>
            <w:jc w:val="both"/>
            <w:rPr>
              <w:b/>
            </w:rPr>
          </w:pPr>
        </w:p>
        <w:p w:rsidR="00746BD5" w:rsidRPr="00565BB1" w:rsidRDefault="00746BD5" w:rsidP="00565BB1">
          <w:pPr>
            <w:tabs>
              <w:tab w:val="left" w:pos="3456"/>
            </w:tabs>
            <w:jc w:val="both"/>
            <w:rPr>
              <w:b/>
            </w:rPr>
          </w:pPr>
        </w:p>
        <w:p w:rsidR="00D16764" w:rsidRPr="00AF7330" w:rsidRDefault="00565BB1" w:rsidP="00DA6CCE">
          <w:pPr>
            <w:pStyle w:val="Prrafodelista"/>
            <w:numPr>
              <w:ilvl w:val="0"/>
              <w:numId w:val="1"/>
            </w:numPr>
            <w:tabs>
              <w:tab w:val="left" w:pos="3456"/>
            </w:tabs>
            <w:jc w:val="both"/>
            <w:rPr>
              <w:b/>
            </w:rPr>
          </w:pPr>
          <w:r w:rsidRPr="009257EF">
            <w:rPr>
              <w:b/>
            </w:rPr>
            <w:lastRenderedPageBreak/>
            <w:t xml:space="preserve"> </w:t>
          </w:r>
          <w:r w:rsidR="00746BD5" w:rsidRPr="009257EF">
            <w:rPr>
              <w:b/>
            </w:rPr>
            <w:t>Promedio de las fuentes tributarias que exis</w:t>
          </w:r>
          <w:r w:rsidR="003E7116">
            <w:rPr>
              <w:b/>
            </w:rPr>
            <w:t xml:space="preserve">ten de cada tipo en el grupo ADRICTE </w:t>
          </w:r>
          <w:r w:rsidR="00AF7330" w:rsidRPr="00AF7330">
            <w:rPr>
              <w:b/>
            </w:rPr>
            <w:t>(2010).</w:t>
          </w:r>
        </w:p>
        <w:tbl>
          <w:tblPr>
            <w:tblStyle w:val="Sombreadoclaro-nfasis4"/>
            <w:tblW w:w="8745" w:type="dxa"/>
            <w:tblLook w:val="04A0" w:firstRow="1" w:lastRow="0" w:firstColumn="1" w:lastColumn="0" w:noHBand="0" w:noVBand="1"/>
          </w:tblPr>
          <w:tblGrid>
            <w:gridCol w:w="1380"/>
            <w:gridCol w:w="1985"/>
            <w:gridCol w:w="2171"/>
            <w:gridCol w:w="2248"/>
            <w:gridCol w:w="961"/>
          </w:tblGrid>
          <w:tr w:rsidR="00055955" w:rsidRPr="00055955" w:rsidTr="00055955">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380" w:type="dxa"/>
                <w:vMerge w:val="restart"/>
                <w:noWrap/>
                <w:hideMark/>
              </w:tcPr>
              <w:p w:rsidR="00055955" w:rsidRPr="00055955" w:rsidRDefault="00055955" w:rsidP="00055955">
                <w:pPr>
                  <w:rPr>
                    <w:rFonts w:ascii="Calibri" w:eastAsia="Times New Roman" w:hAnsi="Calibri" w:cs="Times New Roman"/>
                    <w:color w:val="000000"/>
                    <w:lang w:eastAsia="es-ES"/>
                  </w:rPr>
                </w:pPr>
                <w:r w:rsidRPr="00055955">
                  <w:rPr>
                    <w:rFonts w:ascii="Calibri" w:eastAsia="Times New Roman" w:hAnsi="Calibri" w:cs="Times New Roman"/>
                    <w:color w:val="000000"/>
                    <w:lang w:eastAsia="es-ES"/>
                  </w:rPr>
                  <w:t>ADRICTE</w:t>
                </w:r>
              </w:p>
            </w:tc>
            <w:tc>
              <w:tcPr>
                <w:tcW w:w="1985" w:type="dxa"/>
                <w:noWrap/>
                <w:hideMark/>
              </w:tcPr>
              <w:p w:rsidR="00055955" w:rsidRPr="00055955" w:rsidRDefault="00055955" w:rsidP="000559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055955">
                  <w:rPr>
                    <w:rFonts w:ascii="Calibri" w:eastAsia="Times New Roman" w:hAnsi="Calibri" w:cs="Times New Roman"/>
                    <w:color w:val="000000"/>
                    <w:lang w:eastAsia="es-ES"/>
                  </w:rPr>
                  <w:t>Total percepciones salarios</w:t>
                </w:r>
              </w:p>
            </w:tc>
            <w:tc>
              <w:tcPr>
                <w:tcW w:w="2171" w:type="dxa"/>
                <w:noWrap/>
                <w:hideMark/>
              </w:tcPr>
              <w:p w:rsidR="00055955" w:rsidRPr="00055955" w:rsidRDefault="00055955" w:rsidP="000559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055955">
                  <w:rPr>
                    <w:rFonts w:ascii="Calibri" w:eastAsia="Times New Roman" w:hAnsi="Calibri" w:cs="Times New Roman"/>
                    <w:color w:val="000000"/>
                    <w:lang w:eastAsia="es-ES"/>
                  </w:rPr>
                  <w:t>Total Percepciones pensiones</w:t>
                </w:r>
              </w:p>
            </w:tc>
            <w:tc>
              <w:tcPr>
                <w:tcW w:w="2248" w:type="dxa"/>
                <w:noWrap/>
                <w:hideMark/>
              </w:tcPr>
              <w:p w:rsidR="00055955" w:rsidRPr="00055955" w:rsidRDefault="00055955" w:rsidP="000559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055955">
                  <w:rPr>
                    <w:rFonts w:ascii="Calibri" w:eastAsia="Times New Roman" w:hAnsi="Calibri" w:cs="Times New Roman"/>
                    <w:color w:val="000000"/>
                    <w:lang w:eastAsia="es-ES"/>
                  </w:rPr>
                  <w:t>Total Percepciones desempleo</w:t>
                </w:r>
              </w:p>
            </w:tc>
            <w:tc>
              <w:tcPr>
                <w:tcW w:w="961" w:type="dxa"/>
                <w:noWrap/>
                <w:hideMark/>
              </w:tcPr>
              <w:p w:rsidR="00055955" w:rsidRPr="00055955" w:rsidRDefault="00055955" w:rsidP="000559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Pr>
                    <w:rFonts w:ascii="Calibri" w:eastAsia="Times New Roman" w:hAnsi="Calibri" w:cs="Times New Roman"/>
                    <w:b w:val="0"/>
                    <w:bCs w:val="0"/>
                    <w:color w:val="000000"/>
                    <w:lang w:eastAsia="es-ES"/>
                  </w:rPr>
                  <w:t>Padró</w:t>
                </w:r>
                <w:r w:rsidRPr="00055955">
                  <w:rPr>
                    <w:rFonts w:ascii="Calibri" w:eastAsia="Times New Roman" w:hAnsi="Calibri" w:cs="Times New Roman"/>
                    <w:color w:val="000000"/>
                    <w:lang w:eastAsia="es-ES"/>
                  </w:rPr>
                  <w:t>n total</w:t>
                </w:r>
              </w:p>
            </w:tc>
          </w:tr>
          <w:tr w:rsidR="00055955" w:rsidRPr="00055955" w:rsidTr="0005595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380" w:type="dxa"/>
                <w:vMerge/>
                <w:noWrap/>
                <w:hideMark/>
              </w:tcPr>
              <w:p w:rsidR="00055955" w:rsidRPr="00055955" w:rsidRDefault="00055955" w:rsidP="00055955">
                <w:pPr>
                  <w:rPr>
                    <w:rFonts w:ascii="Calibri" w:eastAsia="Times New Roman" w:hAnsi="Calibri" w:cs="Times New Roman"/>
                    <w:color w:val="000000"/>
                    <w:lang w:eastAsia="es-ES"/>
                  </w:rPr>
                </w:pPr>
              </w:p>
            </w:tc>
            <w:tc>
              <w:tcPr>
                <w:tcW w:w="1985" w:type="dxa"/>
                <w:noWrap/>
                <w:hideMark/>
              </w:tcPr>
              <w:p w:rsidR="00055955" w:rsidRPr="00055955" w:rsidRDefault="00055955" w:rsidP="000559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055955">
                  <w:rPr>
                    <w:rFonts w:ascii="Calibri" w:eastAsia="Times New Roman" w:hAnsi="Calibri" w:cs="Times New Roman"/>
                    <w:b/>
                    <w:bCs/>
                    <w:color w:val="000000"/>
                    <w:lang w:eastAsia="es-ES"/>
                  </w:rPr>
                  <w:t>4113</w:t>
                </w:r>
              </w:p>
            </w:tc>
            <w:tc>
              <w:tcPr>
                <w:tcW w:w="2171" w:type="dxa"/>
                <w:noWrap/>
                <w:hideMark/>
              </w:tcPr>
              <w:p w:rsidR="00055955" w:rsidRPr="00055955" w:rsidRDefault="00055955" w:rsidP="000559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055955">
                  <w:rPr>
                    <w:rFonts w:ascii="Calibri" w:eastAsia="Times New Roman" w:hAnsi="Calibri" w:cs="Times New Roman"/>
                    <w:b/>
                    <w:bCs/>
                    <w:color w:val="000000"/>
                    <w:lang w:eastAsia="es-ES"/>
                  </w:rPr>
                  <w:t>3895</w:t>
                </w:r>
              </w:p>
            </w:tc>
            <w:tc>
              <w:tcPr>
                <w:tcW w:w="2248" w:type="dxa"/>
                <w:noWrap/>
                <w:hideMark/>
              </w:tcPr>
              <w:p w:rsidR="00055955" w:rsidRPr="00055955" w:rsidRDefault="00055955" w:rsidP="000559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055955">
                  <w:rPr>
                    <w:rFonts w:ascii="Calibri" w:eastAsia="Times New Roman" w:hAnsi="Calibri" w:cs="Times New Roman"/>
                    <w:b/>
                    <w:bCs/>
                    <w:color w:val="000000"/>
                    <w:lang w:eastAsia="es-ES"/>
                  </w:rPr>
                  <w:t>879</w:t>
                </w:r>
              </w:p>
            </w:tc>
            <w:tc>
              <w:tcPr>
                <w:tcW w:w="961" w:type="dxa"/>
                <w:noWrap/>
                <w:hideMark/>
              </w:tcPr>
              <w:p w:rsidR="00055955" w:rsidRPr="00055955" w:rsidRDefault="00055955" w:rsidP="000559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055955">
                  <w:rPr>
                    <w:rFonts w:ascii="Calibri" w:eastAsia="Times New Roman" w:hAnsi="Calibri" w:cs="Times New Roman"/>
                    <w:b/>
                    <w:bCs/>
                    <w:color w:val="000000"/>
                    <w:lang w:eastAsia="es-ES"/>
                  </w:rPr>
                  <w:t>10994</w:t>
                </w:r>
              </w:p>
            </w:tc>
          </w:tr>
        </w:tbl>
        <w:p w:rsidR="00746BD5" w:rsidRDefault="00746BD5" w:rsidP="00DA6CCE">
          <w:pPr>
            <w:pStyle w:val="Prrafodelista"/>
            <w:tabs>
              <w:tab w:val="left" w:pos="3456"/>
            </w:tabs>
            <w:jc w:val="both"/>
            <w:rPr>
              <w:b/>
            </w:rPr>
          </w:pPr>
        </w:p>
        <w:p w:rsidR="00746BD5" w:rsidRDefault="00746BD5" w:rsidP="00DA6CCE">
          <w:pPr>
            <w:pStyle w:val="Prrafodelista"/>
            <w:tabs>
              <w:tab w:val="left" w:pos="3456"/>
            </w:tabs>
            <w:jc w:val="both"/>
            <w:rPr>
              <w:b/>
            </w:rPr>
          </w:pPr>
        </w:p>
        <w:p w:rsidR="00A84D47" w:rsidRDefault="00A84D47" w:rsidP="00DA6CCE">
          <w:pPr>
            <w:pStyle w:val="Prrafodelista"/>
            <w:tabs>
              <w:tab w:val="left" w:pos="3456"/>
            </w:tabs>
            <w:ind w:left="567"/>
            <w:jc w:val="both"/>
            <w:rPr>
              <w:b/>
            </w:rPr>
          </w:pPr>
        </w:p>
        <w:p w:rsidR="00EC5221" w:rsidRDefault="00EC5221" w:rsidP="00DA6CCE">
          <w:pPr>
            <w:pStyle w:val="Prrafodelista"/>
            <w:tabs>
              <w:tab w:val="left" w:pos="3456"/>
            </w:tabs>
            <w:jc w:val="both"/>
            <w:rPr>
              <w:b/>
            </w:rPr>
          </w:pPr>
        </w:p>
        <w:p w:rsidR="00EC5221" w:rsidRDefault="00EC5221" w:rsidP="00DA6CCE">
          <w:pPr>
            <w:pStyle w:val="Prrafodelista"/>
            <w:tabs>
              <w:tab w:val="left" w:pos="3456"/>
            </w:tabs>
            <w:jc w:val="both"/>
            <w:rPr>
              <w:b/>
            </w:rPr>
          </w:pPr>
        </w:p>
        <w:p w:rsidR="007A3D6C" w:rsidRDefault="007A3D6C" w:rsidP="00DA6CCE">
          <w:pPr>
            <w:pStyle w:val="Prrafodelista"/>
            <w:tabs>
              <w:tab w:val="left" w:pos="3456"/>
            </w:tabs>
            <w:ind w:left="284"/>
            <w:jc w:val="both"/>
            <w:rPr>
              <w:b/>
            </w:rPr>
          </w:pPr>
        </w:p>
        <w:p w:rsidR="00EC5221" w:rsidRDefault="00EC5221"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3729DC" w:rsidRDefault="003729DC" w:rsidP="00DA6CCE">
          <w:pPr>
            <w:pStyle w:val="Prrafodelista"/>
            <w:tabs>
              <w:tab w:val="left" w:pos="3456"/>
            </w:tabs>
            <w:ind w:left="284"/>
            <w:jc w:val="both"/>
            <w:rPr>
              <w:b/>
            </w:rPr>
          </w:pPr>
        </w:p>
        <w:p w:rsidR="00424122" w:rsidRDefault="00424122"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B8002C" w:rsidRDefault="00B8002C" w:rsidP="00EF58DA">
          <w:pPr>
            <w:tabs>
              <w:tab w:val="left" w:pos="3456"/>
            </w:tabs>
            <w:jc w:val="both"/>
            <w:rPr>
              <w:b/>
            </w:rPr>
          </w:pPr>
        </w:p>
        <w:p w:rsidR="00EF58DA" w:rsidRDefault="00EF58DA" w:rsidP="00EF58DA">
          <w:pPr>
            <w:tabs>
              <w:tab w:val="left" w:pos="3456"/>
            </w:tabs>
            <w:jc w:val="both"/>
            <w:rPr>
              <w:b/>
            </w:rPr>
          </w:pPr>
        </w:p>
        <w:p w:rsidR="00EF58DA" w:rsidRDefault="00EF58DA" w:rsidP="00EF58DA">
          <w:pPr>
            <w:tabs>
              <w:tab w:val="left" w:pos="3456"/>
            </w:tabs>
            <w:jc w:val="both"/>
            <w:rPr>
              <w:b/>
            </w:rPr>
          </w:pPr>
        </w:p>
        <w:p w:rsidR="00EF58DA" w:rsidRDefault="00EF58DA" w:rsidP="00EF58DA">
          <w:pPr>
            <w:tabs>
              <w:tab w:val="left" w:pos="3456"/>
            </w:tabs>
            <w:jc w:val="both"/>
            <w:rPr>
              <w:b/>
            </w:rPr>
          </w:pPr>
        </w:p>
        <w:p w:rsidR="00EF58DA" w:rsidRDefault="00EF58DA" w:rsidP="00EF58DA">
          <w:pPr>
            <w:tabs>
              <w:tab w:val="left" w:pos="3456"/>
            </w:tabs>
            <w:jc w:val="both"/>
            <w:rPr>
              <w:b/>
            </w:rPr>
          </w:pPr>
        </w:p>
        <w:p w:rsidR="00EF58DA" w:rsidRDefault="00EF58DA" w:rsidP="00EF58DA">
          <w:pPr>
            <w:tabs>
              <w:tab w:val="left" w:pos="3456"/>
            </w:tabs>
            <w:jc w:val="both"/>
            <w:rPr>
              <w:b/>
            </w:rPr>
          </w:pPr>
        </w:p>
        <w:p w:rsidR="00EF58DA" w:rsidRDefault="00EF58DA" w:rsidP="00EF58DA">
          <w:pPr>
            <w:tabs>
              <w:tab w:val="left" w:pos="3456"/>
            </w:tabs>
            <w:jc w:val="both"/>
            <w:rPr>
              <w:b/>
            </w:rPr>
          </w:pPr>
        </w:p>
        <w:p w:rsidR="00EF58DA" w:rsidRDefault="00EF58DA" w:rsidP="00EF58DA">
          <w:pPr>
            <w:tabs>
              <w:tab w:val="left" w:pos="3456"/>
            </w:tabs>
            <w:jc w:val="both"/>
            <w:rPr>
              <w:b/>
            </w:rPr>
          </w:pPr>
        </w:p>
        <w:p w:rsidR="00EF58DA" w:rsidRDefault="00EF58DA" w:rsidP="00EF58DA">
          <w:pPr>
            <w:tabs>
              <w:tab w:val="left" w:pos="3456"/>
            </w:tabs>
            <w:jc w:val="both"/>
            <w:rPr>
              <w:b/>
            </w:rPr>
          </w:pPr>
        </w:p>
        <w:p w:rsidR="00EF58DA" w:rsidRDefault="00EF58DA" w:rsidP="00EF58DA">
          <w:pPr>
            <w:tabs>
              <w:tab w:val="left" w:pos="3456"/>
            </w:tabs>
            <w:jc w:val="both"/>
            <w:rPr>
              <w:b/>
            </w:rPr>
          </w:pPr>
        </w:p>
        <w:p w:rsidR="00EF58DA" w:rsidRDefault="00EF58DA" w:rsidP="00EF58DA">
          <w:pPr>
            <w:tabs>
              <w:tab w:val="left" w:pos="3456"/>
            </w:tabs>
            <w:jc w:val="both"/>
            <w:rPr>
              <w:b/>
            </w:rPr>
          </w:pPr>
        </w:p>
        <w:p w:rsidR="00EF58DA" w:rsidRDefault="00EF58DA" w:rsidP="00EF58DA">
          <w:pPr>
            <w:tabs>
              <w:tab w:val="left" w:pos="3456"/>
            </w:tabs>
            <w:jc w:val="both"/>
            <w:rPr>
              <w:b/>
            </w:rPr>
          </w:pPr>
        </w:p>
        <w:p w:rsidR="00EF58DA" w:rsidRDefault="00EF58DA" w:rsidP="00EF58DA">
          <w:pPr>
            <w:tabs>
              <w:tab w:val="left" w:pos="3456"/>
            </w:tabs>
            <w:jc w:val="both"/>
            <w:rPr>
              <w:b/>
            </w:rPr>
          </w:pPr>
        </w:p>
        <w:p w:rsidR="00EF58DA" w:rsidRPr="00EF58DA" w:rsidRDefault="00EF58DA" w:rsidP="00EF58DA">
          <w:pPr>
            <w:tabs>
              <w:tab w:val="left" w:pos="3456"/>
            </w:tabs>
            <w:jc w:val="both"/>
            <w:rPr>
              <w:b/>
            </w:rPr>
          </w:pPr>
        </w:p>
        <w:p w:rsidR="003D4E91" w:rsidRDefault="003D4E91" w:rsidP="00DA6CCE">
          <w:pPr>
            <w:pStyle w:val="Prrafodelista"/>
            <w:tabs>
              <w:tab w:val="left" w:pos="3456"/>
            </w:tabs>
            <w:ind w:left="284"/>
            <w:jc w:val="both"/>
          </w:pPr>
          <w:r>
            <w:rPr>
              <w:b/>
            </w:rPr>
            <w:lastRenderedPageBreak/>
            <w:t xml:space="preserve">              </w:t>
          </w:r>
          <w:r w:rsidRPr="003D4E91">
            <w:t>A continuación se mostrarán algunos mapas de carácter representativo que nos darán las pautas para conocer y poder resolver los problemas que existen en cada uno de los grupos LEADER, en este caso</w:t>
          </w:r>
          <w:r>
            <w:t xml:space="preserve"> </w:t>
          </w:r>
          <w:r w:rsidRPr="003D4E91">
            <w:t>siendo el Grupo de Acción Local AD</w:t>
          </w:r>
          <w:r w:rsidR="00D9368B">
            <w:t>R</w:t>
          </w:r>
          <w:r w:rsidR="00E44EC7">
            <w:t>I</w:t>
          </w:r>
          <w:r w:rsidR="009508AE">
            <w:t>CTE</w:t>
          </w:r>
          <w:r w:rsidRPr="003D4E91">
            <w:t>.</w:t>
          </w:r>
        </w:p>
        <w:p w:rsidR="00D139A2" w:rsidRDefault="00D139A2" w:rsidP="00DA6CCE">
          <w:pPr>
            <w:pStyle w:val="Prrafodelista"/>
            <w:tabs>
              <w:tab w:val="left" w:pos="3456"/>
            </w:tabs>
            <w:ind w:left="284"/>
            <w:jc w:val="both"/>
          </w:pPr>
          <w:r>
            <w:tab/>
          </w:r>
        </w:p>
        <w:p w:rsidR="00D139A2" w:rsidRDefault="00D139A2" w:rsidP="00DA6CCE">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3D4E91" w:rsidRDefault="003D4E91" w:rsidP="00DA6CCE">
          <w:pPr>
            <w:pStyle w:val="Prrafodelista"/>
            <w:tabs>
              <w:tab w:val="left" w:pos="3456"/>
            </w:tabs>
            <w:ind w:left="284"/>
            <w:jc w:val="both"/>
          </w:pPr>
        </w:p>
        <w:p w:rsidR="003D4E91" w:rsidRDefault="003D4E91" w:rsidP="00DA6CCE">
          <w:pPr>
            <w:pStyle w:val="Prrafodelista"/>
            <w:tabs>
              <w:tab w:val="left" w:pos="3456"/>
            </w:tabs>
            <w:ind w:left="284"/>
            <w:jc w:val="both"/>
          </w:pPr>
          <w:r>
            <w:t xml:space="preserve">            Como vemos se trata de un grupo </w:t>
          </w:r>
          <w:r w:rsidR="00924E6A">
            <w:t>formado por la</w:t>
          </w:r>
          <w:r w:rsidR="009508AE">
            <w:t xml:space="preserve"> Comunidad de Teruel</w:t>
          </w:r>
          <w:r w:rsidR="00173249">
            <w:t xml:space="preserve"> </w:t>
          </w:r>
          <w:r w:rsidR="00924E6A">
            <w:t xml:space="preserve"> y engloba un total de </w:t>
          </w:r>
          <w:r w:rsidR="009508AE">
            <w:t>41</w:t>
          </w:r>
          <w:r w:rsidR="00924E6A">
            <w:t xml:space="preserve"> municipios.</w:t>
          </w:r>
        </w:p>
        <w:p w:rsidR="00D139A2" w:rsidRPr="003D4E91" w:rsidRDefault="00D139A2" w:rsidP="00DA6CCE">
          <w:pPr>
            <w:pStyle w:val="Prrafodelista"/>
            <w:tabs>
              <w:tab w:val="left" w:pos="3456"/>
            </w:tabs>
            <w:ind w:left="284"/>
            <w:jc w:val="both"/>
          </w:pPr>
        </w:p>
        <w:p w:rsidR="003D4E91" w:rsidRPr="00625167" w:rsidRDefault="000B6322" w:rsidP="00452FBF">
          <w:pPr>
            <w:pStyle w:val="Prrafodelista"/>
            <w:tabs>
              <w:tab w:val="left" w:pos="3456"/>
            </w:tabs>
            <w:ind w:left="284"/>
            <w:jc w:val="center"/>
            <w:rPr>
              <w:b/>
            </w:rPr>
          </w:pPr>
          <w:r>
            <w:rPr>
              <w:b/>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6pt;height:442.4pt">
                <v:imagedata r:id="rId36" o:title="localización"/>
              </v:shape>
            </w:pict>
          </w:r>
        </w:p>
        <w:p w:rsidR="00924E6A" w:rsidRDefault="00924E6A" w:rsidP="008D4C33">
          <w:pPr>
            <w:ind w:firstLine="708"/>
            <w:jc w:val="both"/>
          </w:pPr>
        </w:p>
        <w:p w:rsidR="00B96BF7" w:rsidRDefault="00B96BF7" w:rsidP="008D4C33">
          <w:pPr>
            <w:ind w:firstLine="708"/>
            <w:jc w:val="both"/>
          </w:pPr>
        </w:p>
        <w:p w:rsidR="008D4C33" w:rsidRDefault="00924E6A" w:rsidP="008D4C33">
          <w:pPr>
            <w:ind w:firstLine="708"/>
            <w:jc w:val="both"/>
          </w:pPr>
          <w:r>
            <w:lastRenderedPageBreak/>
            <w:t>El grupo de acción local</w:t>
          </w:r>
          <w:r w:rsidR="00737319">
            <w:t xml:space="preserve"> </w:t>
          </w:r>
          <w:r w:rsidR="00EF58DA">
            <w:t xml:space="preserve">ADRICTE se enmarca en la parte oriental de la cordillera ibérica dejando un relieve caracterizado por la presencia de dos grandes fosas tectónicas en torno a las depresiones de los ríos que la recorren el  Jiloca y el </w:t>
          </w:r>
          <w:proofErr w:type="spellStart"/>
          <w:r w:rsidR="00EF58DA">
            <w:t>Alfambra</w:t>
          </w:r>
          <w:proofErr w:type="spellEnd"/>
          <w:r w:rsidR="00EF58DA">
            <w:t>-Turia. Delimita al oeste las</w:t>
          </w:r>
          <w:r w:rsidR="00EF58DA">
            <w:t xml:space="preserve"> sierras de Albarracín y </w:t>
          </w:r>
          <w:proofErr w:type="spellStart"/>
          <w:r w:rsidR="00EF58DA">
            <w:t>Menera</w:t>
          </w:r>
          <w:proofErr w:type="spellEnd"/>
          <w:r w:rsidR="00EF58DA">
            <w:t xml:space="preserve"> la depresión del Jiloca estando delimitada a su vez al oeste por la Palomera. Mientras que la depresión del </w:t>
          </w:r>
          <w:proofErr w:type="spellStart"/>
          <w:r w:rsidR="00EF58DA">
            <w:t>Alfambra</w:t>
          </w:r>
          <w:proofErr w:type="spellEnd"/>
          <w:r w:rsidR="00EF58DA">
            <w:t xml:space="preserve">-Turia se encuentra encajada al este por las sierras de </w:t>
          </w:r>
          <w:proofErr w:type="spellStart"/>
          <w:r w:rsidR="00EF58DA">
            <w:t>Gúdar</w:t>
          </w:r>
          <w:proofErr w:type="spellEnd"/>
          <w:r w:rsidR="00EF58DA">
            <w:t xml:space="preserve"> </w:t>
          </w:r>
          <w:proofErr w:type="spellStart"/>
          <w:r w:rsidR="00EF58DA">
            <w:t>Javalambre</w:t>
          </w:r>
          <w:proofErr w:type="spellEnd"/>
          <w:r w:rsidR="00EF58DA">
            <w:t xml:space="preserve"> y al oeste por la sierra de Palomera.</w:t>
          </w:r>
        </w:p>
        <w:p w:rsidR="009508AE" w:rsidRDefault="000B6322" w:rsidP="00701077">
          <w:pPr>
            <w:jc w:val="center"/>
            <w:rPr>
              <w:b/>
            </w:rPr>
          </w:pPr>
          <w:r>
            <w:rPr>
              <w:b/>
            </w:rPr>
            <w:pict>
              <v:shape id="_x0000_i1026" type="#_x0000_t75" style="width:424.8pt;height:600.8pt">
                <v:imagedata r:id="rId37" o:title="medio fisico"/>
              </v:shape>
            </w:pict>
          </w:r>
        </w:p>
        <w:p w:rsidR="003D4E91" w:rsidRDefault="003D4E91" w:rsidP="00DA6CCE">
          <w:pPr>
            <w:ind w:firstLine="708"/>
            <w:jc w:val="both"/>
            <w:rPr>
              <w:b/>
            </w:rPr>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w:t>
          </w:r>
          <w:r w:rsidR="00D139A2">
            <w:t xml:space="preserve">En el caso de </w:t>
          </w:r>
          <w:r w:rsidR="00924E6A">
            <w:t>AD</w:t>
          </w:r>
          <w:r w:rsidR="00E753DC">
            <w:t>R</w:t>
          </w:r>
          <w:r w:rsidR="000A6D47">
            <w:t xml:space="preserve">ICTE </w:t>
          </w:r>
          <w:r w:rsidR="00BE5550">
            <w:t>vemos como la mayoría de municipios presentan tasas de masculinida</w:t>
          </w:r>
          <w:r w:rsidR="00E81C69">
            <w:t xml:space="preserve">d superiores a las de feminidad. A excepción de </w:t>
          </w:r>
          <w:r w:rsidR="009508AE">
            <w:t>Aguatón, Argente, Escorihuela, Peralejos y Santa Eulalia.</w:t>
          </w:r>
        </w:p>
        <w:p w:rsidR="00592215" w:rsidRDefault="000B6322" w:rsidP="00DA02BE">
          <w:pPr>
            <w:jc w:val="center"/>
            <w:rPr>
              <w:b/>
            </w:rPr>
          </w:pPr>
          <w:r>
            <w:rPr>
              <w:b/>
            </w:rPr>
            <w:pict>
              <v:shape id="_x0000_i1027" type="#_x0000_t75" style="width:424.8pt;height:600.8pt">
                <v:imagedata r:id="rId38" o:title="tasasfem_mas_densidd"/>
              </v:shape>
            </w:pict>
          </w:r>
        </w:p>
        <w:p w:rsidR="00592215" w:rsidRPr="00592215" w:rsidRDefault="00592215" w:rsidP="00DA6CCE">
          <w:pPr>
            <w:jc w:val="both"/>
          </w:pPr>
          <w:r>
            <w:rPr>
              <w:b/>
            </w:rPr>
            <w:lastRenderedPageBreak/>
            <w:tab/>
          </w:r>
          <w:r>
            <w:t xml:space="preserve">En cuanto al </w:t>
          </w:r>
          <w:r w:rsidRPr="005C032F">
            <w:rPr>
              <w:b/>
            </w:rPr>
            <w:t>envejecimiento</w:t>
          </w:r>
          <w:r>
            <w:t xml:space="preserve">, encontrábamos valores muy altos para todos los casos por lo que lo que decidimos fue partir de la idea de que existía ese problema para prácticamente el total de municipios y a raíz de ahí establecer una diferenciación clara al comparar dichos valores con la media total de envejecimiento de Aragón en función de si estos eran inferiores, iguales o superiores a la misma. </w:t>
          </w:r>
        </w:p>
        <w:p w:rsidR="003D4E91" w:rsidRDefault="000B6322" w:rsidP="00452FBF">
          <w:pPr>
            <w:jc w:val="center"/>
            <w:rPr>
              <w:b/>
            </w:rPr>
          </w:pPr>
          <w:r>
            <w:rPr>
              <w:b/>
              <w:noProof/>
              <w:lang w:eastAsia="es-ES"/>
            </w:rPr>
            <w:pict>
              <v:shape id="_x0000_i1028" type="#_x0000_t75" style="width:424.8pt;height:542.4pt">
                <v:imagedata r:id="rId39" o:title="ENVEJARAGON_ADRICTE"/>
              </v:shape>
            </w:pict>
          </w:r>
        </w:p>
        <w:p w:rsidR="000725D3" w:rsidRDefault="00592215" w:rsidP="00DA6CCE">
          <w:pPr>
            <w:jc w:val="both"/>
          </w:pPr>
          <w:r>
            <w:rPr>
              <w:b/>
            </w:rPr>
            <w:tab/>
          </w:r>
          <w:r>
            <w:t xml:space="preserve">Los municipios </w:t>
          </w:r>
          <w:r w:rsidRPr="00592215">
            <w:t xml:space="preserve">que </w:t>
          </w:r>
          <w:r>
            <w:t xml:space="preserve">se representan en gris son aquellos de los que no hemos podido disponer de datos. </w:t>
          </w:r>
          <w:r w:rsidR="00DA02BE">
            <w:t>E</w:t>
          </w:r>
          <w:r w:rsidR="00AB3ED5">
            <w:t>n amarillo</w:t>
          </w:r>
          <w:r>
            <w:t xml:space="preserve"> vemos los valores que se asemejan a la media de Aragón y, en el último caso, los valores que se representan en diferentes tonalidades de rojo son aquellos </w:t>
          </w:r>
          <w:r w:rsidR="00AB3ED5">
            <w:t xml:space="preserve">que se encuentran por encima de la media. Con estas tonalidades hemos querido resaltar aquellos municipios que dentro de tasas altas de envejecimiento tienen valores </w:t>
          </w:r>
          <w:r w:rsidR="005C032F">
            <w:t>más</w:t>
          </w:r>
          <w:r w:rsidR="00AB3ED5">
            <w:t xml:space="preserve"> </w:t>
          </w:r>
          <w:r w:rsidR="00AB3ED5">
            <w:lastRenderedPageBreak/>
            <w:t>alarmantes y cuales todavía no tanto</w:t>
          </w:r>
          <w:r w:rsidR="000B686B">
            <w:t xml:space="preserve">. </w:t>
          </w:r>
          <w:r w:rsidR="000725D3">
            <w:t>Como vemos no existe ningún municipio que presente una tasa de envejecimiento inferior a la meda de Aragón y tan solo el valor de Villastar (94,2%). Aquellos municipios que se encuentran en una situación alarmante en cuanto a valores muy superiores a la media de envejecimiento de Aragón son: Cascante del Río (2000%), Jorcas (1775%), Torremocha de Jiloca (1200%), El Pobo (1185,7%) y Rillo (980%).</w:t>
          </w:r>
        </w:p>
        <w:p w:rsidR="005C032F" w:rsidRDefault="005C032F" w:rsidP="00DA6CCE">
          <w:pPr>
            <w:jc w:val="both"/>
          </w:pPr>
          <w:r>
            <w:tab/>
            <w:t>Respecto al envejecimiento también hemos querido analizar si precisamente, esta condición puede guardar relación con otra serie de variables como se muestran en los dos mapas a continuación, el paro y la masculinización de la población.</w:t>
          </w:r>
          <w:r w:rsidR="00923EF1" w:rsidRPr="00923EF1">
            <w:t xml:space="preserve"> </w:t>
          </w:r>
        </w:p>
        <w:p w:rsidR="005C032F" w:rsidRDefault="000B6322" w:rsidP="00452FBF">
          <w:pPr>
            <w:jc w:val="center"/>
          </w:pPr>
          <w:r>
            <w:pict>
              <v:shape id="_x0000_i1029" type="#_x0000_t75" style="width:369.6pt;height:486.4pt">
                <v:imagedata r:id="rId40" o:title="envej_paro"/>
              </v:shape>
            </w:pict>
          </w:r>
        </w:p>
        <w:p w:rsidR="00731030" w:rsidRDefault="005C032F" w:rsidP="00DA6CCE">
          <w:pPr>
            <w:jc w:val="both"/>
          </w:pPr>
          <w:r>
            <w:tab/>
            <w:t>En este primer mapa lo que encontramos es como a primera vista vemos que los lugares donde las tasas de envejecimiento son superiores muestran unas tasas de paro más bajas, lo cual es lógico ya que, el rasgo del envejecimiento implica población con edades altas, de los 65 en adelante, donde prácticamente el total poblacional ya está jubilado y evidentemente el paro apenas existe</w:t>
          </w:r>
          <w:r w:rsidR="00AB3ED5">
            <w:t>.</w:t>
          </w:r>
        </w:p>
        <w:p w:rsidR="005C032F" w:rsidRDefault="005C032F" w:rsidP="00DA6CCE">
          <w:pPr>
            <w:jc w:val="both"/>
          </w:pPr>
          <w:r>
            <w:lastRenderedPageBreak/>
            <w:tab/>
            <w:t>En este segundo caso hemos querido establecer la relación entre la variable masculinidad y la tasa de envejecimiento para conocer si realmente los municipios que muestran altas tasas de envejecimiento son aquellos donde la tasa de masculinidad es mayor.</w:t>
          </w:r>
        </w:p>
        <w:p w:rsidR="005C032F" w:rsidRDefault="000B6322" w:rsidP="00452FBF">
          <w:pPr>
            <w:jc w:val="center"/>
          </w:pPr>
          <w:r>
            <w:pict>
              <v:shape id="_x0000_i1030" type="#_x0000_t75" style="width:424.8pt;height:559.2pt">
                <v:imagedata r:id="rId41" o:title="tasamasc_tasaenvej"/>
              </v:shape>
            </w:pict>
          </w:r>
        </w:p>
        <w:p w:rsidR="005C032F" w:rsidRDefault="005C032F" w:rsidP="00DA6CCE">
          <w:pPr>
            <w:jc w:val="both"/>
          </w:pPr>
          <w:r>
            <w:tab/>
            <w:t xml:space="preserve">Al representar los valores de las variables en el mapa vemos como prácticamente las tasas de masculinidad </w:t>
          </w:r>
          <w:r w:rsidR="00923EF1">
            <w:t>son muy parecidas en todos los lugares y, aunque se reducen algo en aquellos municipios donde el índice de envejecimiento es menor, no podemos decir que exista una relación significativa  entre ambas variables.</w:t>
          </w:r>
        </w:p>
        <w:p w:rsidR="005C032F" w:rsidRDefault="00A870E9" w:rsidP="00DA6CCE">
          <w:pPr>
            <w:ind w:firstLine="708"/>
            <w:jc w:val="both"/>
          </w:pPr>
          <w:r>
            <w:lastRenderedPageBreak/>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social durante el periodo de septiembre de 2014 o el porcentaje de ocupación en cada uno de los sectores económicos sobre el total de actividades.</w:t>
          </w:r>
        </w:p>
        <w:p w:rsidR="00DA6CCE" w:rsidRDefault="000B6322" w:rsidP="00CE6A13">
          <w:pPr>
            <w:ind w:firstLine="426"/>
            <w:jc w:val="center"/>
          </w:pPr>
          <w:r>
            <w:rPr>
              <w:noProof/>
              <w:lang w:eastAsia="es-ES"/>
            </w:rPr>
            <w:pict>
              <v:shape id="_x0000_i1031" type="#_x0000_t75" style="width:406.4pt;height:515.2pt">
                <v:imagedata r:id="rId42" o:title="%activeconom"/>
              </v:shape>
            </w:pict>
          </w:r>
        </w:p>
        <w:p w:rsidR="00DA6CCE" w:rsidRDefault="00DA6CCE" w:rsidP="0089418C">
          <w:pPr>
            <w:ind w:firstLine="708"/>
            <w:jc w:val="both"/>
          </w:pPr>
          <w:r>
            <w:t>En este primer mapa vemos una clara diferenciación en función de las diferentes actividades económicas desarrolladas en los municipios que se engloban en el grupo AD</w:t>
          </w:r>
          <w:r w:rsidR="00502CCF">
            <w:t>RICTE</w:t>
          </w:r>
          <w:r>
            <w:t xml:space="preserve"> en función de su densidad. Según lo que podemos apreciar aquellos municipios donde la densidad es media o alta presenta un porcentaje de ocupación sobre el total de actividades mayor en el ámbito de los servicios. Prácticamente en todas las áreas incluso en aquellas donde la densidad de población es baja el porcentaje de ocupación en el sector servicios es </w:t>
          </w:r>
          <w:r>
            <w:lastRenderedPageBreak/>
            <w:t xml:space="preserve">mayor por lo que podemos decir que se trata de </w:t>
          </w:r>
          <w:r w:rsidRPr="00DA6CCE">
            <w:rPr>
              <w:b/>
            </w:rPr>
            <w:t>áreas terciarizadas.</w:t>
          </w:r>
          <w:r>
            <w:rPr>
              <w:b/>
            </w:rPr>
            <w:t xml:space="preserve"> </w:t>
          </w:r>
          <w:r w:rsidRPr="00DA6CCE">
            <w:t>Bien es cierto, que el porcentaje de ocupación en actividades pri</w:t>
          </w:r>
          <w:r w:rsidR="0089418C">
            <w:t>marias aumenta su peso respecto al del sector servicios en los municipios con densidades más bajas aunque nunca llega a superarlo.</w:t>
          </w:r>
        </w:p>
        <w:p w:rsidR="00F6732C" w:rsidRDefault="000B6322" w:rsidP="00DA6CCE">
          <w:pPr>
            <w:ind w:firstLine="284"/>
            <w:jc w:val="center"/>
          </w:pPr>
          <w:r>
            <w:pict>
              <v:shape id="_x0000_i1032" type="#_x0000_t75" style="width:424.8pt;height:540.8pt">
                <v:imagedata r:id="rId43" o:title="tasaparo_densidad"/>
              </v:shape>
            </w:pict>
          </w:r>
        </w:p>
        <w:p w:rsidR="00DA6CCE" w:rsidRPr="00592215" w:rsidRDefault="00B07BC3" w:rsidP="0089418C">
          <w:pPr>
            <w:ind w:firstLine="284"/>
            <w:jc w:val="both"/>
          </w:pPr>
          <w:r w:rsidRPr="00B07BC3">
            <w:t xml:space="preserve">La </w:t>
          </w:r>
          <w:r w:rsidRPr="002E0141">
            <w:rPr>
              <w:b/>
            </w:rPr>
            <w:t>tasa de paro</w:t>
          </w:r>
          <w:r w:rsidR="00F6732C" w:rsidRPr="00B07BC3">
            <w:rPr>
              <w:b/>
              <w:color w:val="FF0000"/>
            </w:rPr>
            <w:t xml:space="preserve"> </w:t>
          </w:r>
          <w:r w:rsidR="00F6732C" w:rsidRPr="00B07BC3">
            <w:t>se trata de un indicador que muestra el porcentaje de población que se encuentra en ese momento sin trabajo y que está buscándolo</w:t>
          </w:r>
          <w:r>
            <w:t xml:space="preserve"> </w:t>
          </w:r>
          <w:r w:rsidRPr="00B07BC3">
            <w:rPr>
              <w:color w:val="000000"/>
            </w:rPr>
            <w:t>es decir, la población económicamente activa que no posee un trabajo.</w:t>
          </w:r>
          <w:r>
            <w:rPr>
              <w:color w:val="000000"/>
            </w:rPr>
            <w:t xml:space="preserve"> </w:t>
          </w:r>
          <w:r w:rsidR="00F6732C">
            <w:t>Como vemos en el mapa anterior la densidad sí que se trata de una variable que influye en la cantidad de paro en un determinado lugar. Lo cual hace lógicamente que, como podemos observar, sean aquellos municipios donde la densidad sea más baja los lugares donde la tasa de paro sea menor que en el resto.</w:t>
          </w:r>
          <w:r w:rsidR="00EB7E4E">
            <w:t xml:space="preserve"> </w:t>
          </w:r>
          <w:r w:rsidR="00286287">
            <w:t xml:space="preserve">Cella </w:t>
          </w:r>
          <w:r w:rsidR="00286287">
            <w:lastRenderedPageBreak/>
            <w:t xml:space="preserve">(34,45%), Santa Eulalia (12,61%), Villarquemado (8,34%), Villastar (7,46%) y Villel (6,21%) </w:t>
          </w:r>
          <w:r w:rsidR="00B55AEC">
            <w:t>son los</w:t>
          </w:r>
          <w:r w:rsidR="00F74E34">
            <w:t xml:space="preserve"> municipio</w:t>
          </w:r>
          <w:r w:rsidR="00B55AEC">
            <w:t>s</w:t>
          </w:r>
          <w:r w:rsidR="00EB7E4E">
            <w:t xml:space="preserve"> que </w:t>
          </w:r>
          <w:r w:rsidR="00F74E34">
            <w:t>mayor tasa de paro presenta</w:t>
          </w:r>
          <w:r w:rsidR="00B55AEC">
            <w:t>n</w:t>
          </w:r>
          <w:r w:rsidR="00F74E34">
            <w:t xml:space="preserve"> </w:t>
          </w:r>
          <w:r w:rsidR="00EB7E4E">
            <w:t xml:space="preserve"> de todo el grupo AD</w:t>
          </w:r>
          <w:r w:rsidR="00CE6A13">
            <w:t>R</w:t>
          </w:r>
          <w:r w:rsidR="00731030">
            <w:t>I</w:t>
          </w:r>
          <w:r w:rsidR="00286287">
            <w:t>CTE</w:t>
          </w:r>
          <w:r w:rsidR="00EB7E4E">
            <w:t xml:space="preserve">. </w:t>
          </w:r>
        </w:p>
        <w:p w:rsidR="005047FE" w:rsidRDefault="00DA6CCE" w:rsidP="00DA6CCE">
          <w:pPr>
            <w:ind w:firstLine="284"/>
            <w:jc w:val="both"/>
          </w:pPr>
          <w:r>
            <w:t>Pero, más allá de lo que sería conocer la tasa de paro total sobre la densidad de población en el grupo AD</w:t>
          </w:r>
          <w:r w:rsidR="00502CCF">
            <w:t xml:space="preserve">RICTE </w:t>
          </w:r>
          <w:r>
            <w:t>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sdtContent>
    </w:sdt>
    <w:p w:rsidR="003B3FA0" w:rsidRDefault="000B6322" w:rsidP="00452FBF">
      <w:pPr>
        <w:jc w:val="center"/>
      </w:pPr>
      <w:r>
        <w:pict>
          <v:shape id="_x0000_i1033" type="#_x0000_t75" style="width:424.8pt;height:516pt">
            <v:imagedata r:id="rId44" o:title="densidad_parohommuj"/>
          </v:shape>
        </w:pict>
      </w:r>
    </w:p>
    <w:p w:rsidR="00452FBF" w:rsidRDefault="00452FBF" w:rsidP="00452FBF">
      <w:pPr>
        <w:jc w:val="both"/>
      </w:pPr>
      <w:r>
        <w:tab/>
        <w:t xml:space="preserve">En este caso vemos como al establecer la diferenciación en el paro de hombres y mujeres encontramos </w:t>
      </w:r>
      <w:r w:rsidR="008836D8">
        <w:t>los datos son</w:t>
      </w:r>
      <w:r w:rsidR="0027612C">
        <w:t xml:space="preserve"> algo diversos pues, teniendo en</w:t>
      </w:r>
      <w:r w:rsidR="008836D8">
        <w:t xml:space="preserve"> cuenta que el índice de paro es mayoritariamente bajo para todas las localidades a excepción de las citadas </w:t>
      </w:r>
      <w:r w:rsidR="008836D8">
        <w:lastRenderedPageBreak/>
        <w:t>anteriormente (</w:t>
      </w:r>
      <w:r w:rsidR="00502CCF">
        <w:t xml:space="preserve">Cella, Santa Eulalia, Villarquemado, Villastar y Villel) </w:t>
      </w:r>
      <w:r w:rsidR="0027612C">
        <w:t xml:space="preserve">podemos encontrar tanto municipios donde existen mas parados hombres que mujeres y viceversa. </w:t>
      </w:r>
    </w:p>
    <w:p w:rsidR="00A954F5" w:rsidRDefault="00A954F5" w:rsidP="00A954F5">
      <w:pPr>
        <w:ind w:firstLine="708"/>
        <w:jc w:val="both"/>
      </w:pPr>
      <w:r>
        <w:t xml:space="preserve">En cuanto a la tasa de feminidad respecto a la tasa de paro en mujeres, podemos ver como en el mapa apenas se aprecian áreas con tasas de paro elevadas en mujeres a excepción del caso de  </w:t>
      </w:r>
      <w:r w:rsidR="00D73EFB">
        <w:t>Cella (18,29%), Santa Eulalia (6,57%) y Villarquemado (4,79%).</w:t>
      </w:r>
    </w:p>
    <w:p w:rsidR="00416E44" w:rsidRDefault="000B6322" w:rsidP="005A5F81">
      <w:pPr>
        <w:jc w:val="center"/>
      </w:pPr>
      <w:r>
        <w:pict>
          <v:shape id="_x0000_i1034" type="#_x0000_t75" style="width:424.8pt;height:610.4pt">
            <v:imagedata r:id="rId45" o:title="TASAFEM_PAROMUJ"/>
          </v:shape>
        </w:pict>
      </w:r>
    </w:p>
    <w:p w:rsidR="00B522B6" w:rsidRDefault="00B522B6" w:rsidP="005A5F81">
      <w:pPr>
        <w:jc w:val="center"/>
      </w:pPr>
    </w:p>
    <w:p w:rsidR="00A954F5" w:rsidRDefault="00A954F5" w:rsidP="00A954F5">
      <w:pPr>
        <w:ind w:firstLine="708"/>
        <w:jc w:val="both"/>
      </w:pPr>
      <w:r>
        <w:t xml:space="preserve">Por otro lado vemos el mapa referente a la tasa de masculinidad respecto a la tasa de paro en hombres </w:t>
      </w:r>
      <w:r w:rsidR="006958DB">
        <w:t>y, lo que observamo</w:t>
      </w:r>
      <w:r w:rsidR="00DB2C44">
        <w:t>s es que, en su mayoría</w:t>
      </w:r>
      <w:r w:rsidR="00B522B6">
        <w:t>, todas las áreas presentan valores bajos en cuanto a la tasa de paro en hombres aunque</w:t>
      </w:r>
      <w:r w:rsidR="00A51B0F">
        <w:t>,</w:t>
      </w:r>
      <w:r w:rsidR="00B522B6">
        <w:t xml:space="preserve"> bien es cierto que</w:t>
      </w:r>
      <w:r w:rsidR="00A51B0F">
        <w:t>,</w:t>
      </w:r>
      <w:r w:rsidR="00B522B6">
        <w:t xml:space="preserve"> Cella con una densidad Media Alta presenta el mayor valor de paro en hombres (16,16%).</w:t>
      </w:r>
      <w:r w:rsidR="00416E44">
        <w:t xml:space="preserve"> </w:t>
      </w:r>
      <w:r w:rsidR="00C33F8E">
        <w:t xml:space="preserve"> </w:t>
      </w:r>
    </w:p>
    <w:p w:rsidR="0010130B" w:rsidRDefault="000B6322" w:rsidP="000B6322">
      <w:pPr>
        <w:jc w:val="center"/>
      </w:pPr>
      <w:r>
        <w:pict>
          <v:shape id="_x0000_i1035" type="#_x0000_t75" style="width:424.8pt;height:600.8pt">
            <v:imagedata r:id="rId46" o:title="tasamasc_tasaparohom"/>
          </v:shape>
        </w:pict>
      </w:r>
      <w:bookmarkStart w:id="0" w:name="_GoBack"/>
      <w:bookmarkEnd w:id="0"/>
    </w:p>
    <w:p w:rsidR="006E4407" w:rsidRDefault="0010130B" w:rsidP="00A744E6">
      <w:pPr>
        <w:ind w:firstLine="993"/>
        <w:jc w:val="both"/>
      </w:pPr>
      <w:r>
        <w:lastRenderedPageBreak/>
        <w:t xml:space="preserve">Otra última relación que nos resultó interesante a la hora de realizar el análisis sobre </w:t>
      </w:r>
      <w:r w:rsidR="001F60B6">
        <w:t>la tasa de paro en el grupo AD</w:t>
      </w:r>
      <w:r w:rsidR="00A51B0F">
        <w:t xml:space="preserve">RICTE </w:t>
      </w:r>
      <w:r>
        <w:t>fue la del paro total y la tasa de masculinidad</w:t>
      </w:r>
      <w:r w:rsidRPr="0010130B">
        <w:t xml:space="preserve"> </w:t>
      </w:r>
      <w:r w:rsidR="00A744E6">
        <w:t xml:space="preserve">de cada </w:t>
      </w:r>
      <w:r>
        <w:t xml:space="preserve">municipio. </w:t>
      </w:r>
    </w:p>
    <w:p w:rsidR="0010130B" w:rsidRDefault="000B6322" w:rsidP="00920468">
      <w:pPr>
        <w:ind w:firstLine="567"/>
        <w:jc w:val="both"/>
      </w:pPr>
      <w:r>
        <w:pict>
          <v:shape id="_x0000_i1036" type="#_x0000_t75" style="width:424.8pt;height:546.4pt">
            <v:imagedata r:id="rId47" o:title="tasamascu_tasaparo"/>
          </v:shape>
        </w:pict>
      </w:r>
    </w:p>
    <w:p w:rsidR="00F00975" w:rsidRDefault="0010130B" w:rsidP="006032D4">
      <w:pPr>
        <w:ind w:firstLine="708"/>
        <w:jc w:val="both"/>
      </w:pPr>
      <w:r>
        <w:t xml:space="preserve">Al relacionar estas variables observamos como las áreas con una tasa de masculinidad </w:t>
      </w:r>
      <w:r w:rsidR="00A51B0F">
        <w:t>media-alta o incluso alta presentan valores de paro mayores.</w:t>
      </w:r>
    </w:p>
    <w:p w:rsidR="00A51B0F" w:rsidRDefault="00A51B0F" w:rsidP="006032D4">
      <w:pPr>
        <w:ind w:firstLine="708"/>
        <w:jc w:val="both"/>
      </w:pPr>
    </w:p>
    <w:p w:rsidR="00A51B0F" w:rsidRDefault="00A51B0F" w:rsidP="006032D4">
      <w:pPr>
        <w:ind w:firstLine="708"/>
        <w:jc w:val="both"/>
      </w:pPr>
    </w:p>
    <w:p w:rsidR="00920468" w:rsidRDefault="00F00975" w:rsidP="00920468">
      <w:pPr>
        <w:ind w:firstLine="708"/>
        <w:jc w:val="both"/>
      </w:pPr>
      <w:r>
        <w:lastRenderedPageBreak/>
        <w:t xml:space="preserve">Por último hemos analizado otro indicador a nivel económico para cada municipio referente a las diferencias en la cantidad de </w:t>
      </w:r>
      <w:r w:rsidRPr="002C3354">
        <w:rPr>
          <w:b/>
        </w:rPr>
        <w:t xml:space="preserve">altas a la seguridad social </w:t>
      </w:r>
      <w:r>
        <w:t>en hombres y mujeres durante el periodo del mes de septiembre del año 2014</w:t>
      </w:r>
      <w:r w:rsidR="002C3354">
        <w:t xml:space="preserve">. </w:t>
      </w:r>
    </w:p>
    <w:p w:rsidR="00920468" w:rsidRDefault="000B6322" w:rsidP="001F60B6">
      <w:pPr>
        <w:jc w:val="both"/>
      </w:pPr>
      <w:r>
        <w:pict>
          <v:shape id="_x0000_i1037" type="#_x0000_t75" style="width:424.8pt;height:575.2pt">
            <v:imagedata r:id="rId48" o:title="altasshommuj_densidad"/>
          </v:shape>
        </w:pict>
      </w:r>
    </w:p>
    <w:p w:rsidR="007C3A15" w:rsidRDefault="004E34E8" w:rsidP="001F60B6">
      <w:pPr>
        <w:ind w:firstLine="424"/>
        <w:jc w:val="both"/>
      </w:pPr>
      <w:r>
        <w:t xml:space="preserve">Analizando el mapa vemos como </w:t>
      </w:r>
      <w:r w:rsidR="0069681C">
        <w:t xml:space="preserve">todos los municipios muestran </w:t>
      </w:r>
      <w:r w:rsidR="00920468">
        <w:t xml:space="preserve">una clara mayoría de altas a la </w:t>
      </w:r>
      <w:r w:rsidR="0069681C">
        <w:t>seguridad social durante el periodo de septiembre de 2014 en hombres respecto a mujeres</w:t>
      </w:r>
      <w:r w:rsidR="00F7027F">
        <w:t xml:space="preserve"> excepto el municipio Cascante del Río.</w:t>
      </w:r>
    </w:p>
    <w:sectPr w:rsidR="007C3A15" w:rsidSect="00EC5221">
      <w:headerReference w:type="default" r:id="rId49"/>
      <w:footerReference w:type="default" r:id="rId50"/>
      <w:pgSz w:w="11906" w:h="16838"/>
      <w:pgMar w:top="1417" w:right="1701" w:bottom="56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AF9" w:rsidRDefault="00073AF9" w:rsidP="005047FE">
      <w:pPr>
        <w:spacing w:after="0" w:line="240" w:lineRule="auto"/>
      </w:pPr>
      <w:r>
        <w:separator/>
      </w:r>
    </w:p>
  </w:endnote>
  <w:endnote w:type="continuationSeparator" w:id="0">
    <w:p w:rsidR="00073AF9" w:rsidRDefault="00073AF9"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5047FE" w:rsidRDefault="005047FE">
        <w:pPr>
          <w:pStyle w:val="Piedepgina"/>
        </w:pPr>
        <w:r>
          <w:rPr>
            <w:noProof/>
            <w:lang w:eastAsia="es-ES"/>
          </w:rPr>
          <mc:AlternateContent>
            <mc:Choice Requires="wpg">
              <w:drawing>
                <wp:anchor distT="0" distB="0" distL="114300" distR="114300" simplePos="0" relativeHeight="251659264" behindDoc="0" locked="0" layoutInCell="0" allowOverlap="1" wp14:anchorId="5BA1ECCC" wp14:editId="6E0644A5">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0B6322" w:rsidRPr="000B6322">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23</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9"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30"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1"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2"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3"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0B6322" w:rsidRPr="000B6322">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23</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AF9" w:rsidRDefault="00073AF9" w:rsidP="005047FE">
      <w:pPr>
        <w:spacing w:after="0" w:line="240" w:lineRule="auto"/>
      </w:pPr>
      <w:r>
        <w:separator/>
      </w:r>
    </w:p>
  </w:footnote>
  <w:footnote w:type="continuationSeparator" w:id="0">
    <w:p w:rsidR="00073AF9" w:rsidRDefault="00073AF9"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5047FE">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5047FE" w:rsidRDefault="005C1AB4" w:rsidP="00CD1578">
              <w:pPr>
                <w:pStyle w:val="Encabezado"/>
                <w:jc w:val="center"/>
                <w:rPr>
                  <w:caps/>
                  <w:color w:val="FFFFFF" w:themeColor="background1"/>
                </w:rPr>
              </w:pPr>
              <w:r>
                <w:rPr>
                  <w:caps/>
                  <w:color w:val="FFFFFF" w:themeColor="background1"/>
                </w:rPr>
                <w:t>Caracterización territorial de Comarca de Teruel. Asociación para el Desarrollo Rural e Integral de la Comarca de Teruel (Adricte)</w:t>
              </w:r>
            </w:p>
          </w:tc>
        </w:sdtContent>
      </w:sdt>
      <w:tc>
        <w:tcPr>
          <w:tcW w:w="750" w:type="pct"/>
          <w:shd w:val="clear" w:color="auto" w:fill="000000" w:themeFill="text1"/>
          <w:vAlign w:val="center"/>
        </w:tcPr>
        <w:p w:rsidR="005047FE" w:rsidRDefault="005047FE" w:rsidP="005047FE">
          <w:pPr>
            <w:pStyle w:val="Encabezado"/>
            <w:jc w:val="right"/>
            <w:rPr>
              <w:color w:val="FFFFFF" w:themeColor="background1"/>
            </w:rPr>
          </w:pPr>
        </w:p>
      </w:tc>
    </w:tr>
  </w:tbl>
  <w:p w:rsidR="005047FE" w:rsidRDefault="005047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37B45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4790"/>
    <w:rsid w:val="0000722B"/>
    <w:rsid w:val="000218A7"/>
    <w:rsid w:val="000507AF"/>
    <w:rsid w:val="00055955"/>
    <w:rsid w:val="00070D7B"/>
    <w:rsid w:val="000725D3"/>
    <w:rsid w:val="00073AF9"/>
    <w:rsid w:val="00077359"/>
    <w:rsid w:val="000A6D47"/>
    <w:rsid w:val="000B4043"/>
    <w:rsid w:val="000B6322"/>
    <w:rsid w:val="000B686B"/>
    <w:rsid w:val="000E2003"/>
    <w:rsid w:val="000E24E8"/>
    <w:rsid w:val="0010130B"/>
    <w:rsid w:val="00106908"/>
    <w:rsid w:val="0011532C"/>
    <w:rsid w:val="00122850"/>
    <w:rsid w:val="00162BD4"/>
    <w:rsid w:val="00172F65"/>
    <w:rsid w:val="00173249"/>
    <w:rsid w:val="00183475"/>
    <w:rsid w:val="00187242"/>
    <w:rsid w:val="00190C45"/>
    <w:rsid w:val="00191788"/>
    <w:rsid w:val="00195345"/>
    <w:rsid w:val="001F60B6"/>
    <w:rsid w:val="0020383E"/>
    <w:rsid w:val="0022169C"/>
    <w:rsid w:val="00226733"/>
    <w:rsid w:val="00247F9F"/>
    <w:rsid w:val="00264FE6"/>
    <w:rsid w:val="002655BE"/>
    <w:rsid w:val="00273C95"/>
    <w:rsid w:val="002748A7"/>
    <w:rsid w:val="0027612C"/>
    <w:rsid w:val="00286287"/>
    <w:rsid w:val="002A1ADA"/>
    <w:rsid w:val="002C3354"/>
    <w:rsid w:val="002E0141"/>
    <w:rsid w:val="002E3D44"/>
    <w:rsid w:val="003022EF"/>
    <w:rsid w:val="00306056"/>
    <w:rsid w:val="003431C8"/>
    <w:rsid w:val="00347641"/>
    <w:rsid w:val="003729DC"/>
    <w:rsid w:val="00384351"/>
    <w:rsid w:val="003A36B8"/>
    <w:rsid w:val="003B3FA0"/>
    <w:rsid w:val="003D4E91"/>
    <w:rsid w:val="003E0431"/>
    <w:rsid w:val="003E7116"/>
    <w:rsid w:val="004015F0"/>
    <w:rsid w:val="004105C6"/>
    <w:rsid w:val="00416E44"/>
    <w:rsid w:val="00424122"/>
    <w:rsid w:val="00425194"/>
    <w:rsid w:val="00452FBF"/>
    <w:rsid w:val="00460D1F"/>
    <w:rsid w:val="004722D5"/>
    <w:rsid w:val="004B1F14"/>
    <w:rsid w:val="004E34E8"/>
    <w:rsid w:val="00502CCF"/>
    <w:rsid w:val="005047FE"/>
    <w:rsid w:val="005168CF"/>
    <w:rsid w:val="005270C3"/>
    <w:rsid w:val="00533C22"/>
    <w:rsid w:val="00565BB1"/>
    <w:rsid w:val="00591C12"/>
    <w:rsid w:val="00592215"/>
    <w:rsid w:val="005A5F81"/>
    <w:rsid w:val="005B7974"/>
    <w:rsid w:val="005C032F"/>
    <w:rsid w:val="005C1AB4"/>
    <w:rsid w:val="005C7A73"/>
    <w:rsid w:val="005D76AA"/>
    <w:rsid w:val="005E1E26"/>
    <w:rsid w:val="005F081D"/>
    <w:rsid w:val="005F110C"/>
    <w:rsid w:val="005F2FC9"/>
    <w:rsid w:val="006032D4"/>
    <w:rsid w:val="00625167"/>
    <w:rsid w:val="00641D40"/>
    <w:rsid w:val="0064433B"/>
    <w:rsid w:val="00660D14"/>
    <w:rsid w:val="006622A5"/>
    <w:rsid w:val="00677B14"/>
    <w:rsid w:val="00680D1A"/>
    <w:rsid w:val="006958DB"/>
    <w:rsid w:val="0069616A"/>
    <w:rsid w:val="0069681C"/>
    <w:rsid w:val="006A183E"/>
    <w:rsid w:val="006D7F6B"/>
    <w:rsid w:val="006E4407"/>
    <w:rsid w:val="006F1599"/>
    <w:rsid w:val="006F2D85"/>
    <w:rsid w:val="006F376E"/>
    <w:rsid w:val="00701077"/>
    <w:rsid w:val="00716F00"/>
    <w:rsid w:val="00731030"/>
    <w:rsid w:val="007344D7"/>
    <w:rsid w:val="00737319"/>
    <w:rsid w:val="00746BD5"/>
    <w:rsid w:val="00753A60"/>
    <w:rsid w:val="0076505F"/>
    <w:rsid w:val="0077413A"/>
    <w:rsid w:val="007A3D6C"/>
    <w:rsid w:val="007C3A15"/>
    <w:rsid w:val="008222AC"/>
    <w:rsid w:val="008274D8"/>
    <w:rsid w:val="00840B45"/>
    <w:rsid w:val="008836D8"/>
    <w:rsid w:val="0089418C"/>
    <w:rsid w:val="0089728B"/>
    <w:rsid w:val="008D4C33"/>
    <w:rsid w:val="008E143A"/>
    <w:rsid w:val="008E5F23"/>
    <w:rsid w:val="008E7AAF"/>
    <w:rsid w:val="008F1315"/>
    <w:rsid w:val="00906EF5"/>
    <w:rsid w:val="00920468"/>
    <w:rsid w:val="00923EF1"/>
    <w:rsid w:val="00924E6A"/>
    <w:rsid w:val="0092710E"/>
    <w:rsid w:val="00934ACD"/>
    <w:rsid w:val="00947CA6"/>
    <w:rsid w:val="009508AE"/>
    <w:rsid w:val="009704C6"/>
    <w:rsid w:val="00974B32"/>
    <w:rsid w:val="009C0390"/>
    <w:rsid w:val="009C4330"/>
    <w:rsid w:val="009D7D21"/>
    <w:rsid w:val="009E04F8"/>
    <w:rsid w:val="009F21D0"/>
    <w:rsid w:val="00A06A74"/>
    <w:rsid w:val="00A51B0F"/>
    <w:rsid w:val="00A744E6"/>
    <w:rsid w:val="00A84D47"/>
    <w:rsid w:val="00A870E9"/>
    <w:rsid w:val="00A954F5"/>
    <w:rsid w:val="00AB3ED5"/>
    <w:rsid w:val="00AD3651"/>
    <w:rsid w:val="00AF7330"/>
    <w:rsid w:val="00B01298"/>
    <w:rsid w:val="00B07BC3"/>
    <w:rsid w:val="00B12E0D"/>
    <w:rsid w:val="00B26632"/>
    <w:rsid w:val="00B30CAE"/>
    <w:rsid w:val="00B32B00"/>
    <w:rsid w:val="00B50C23"/>
    <w:rsid w:val="00B522B6"/>
    <w:rsid w:val="00B55AEC"/>
    <w:rsid w:val="00B56B75"/>
    <w:rsid w:val="00B7067C"/>
    <w:rsid w:val="00B8002C"/>
    <w:rsid w:val="00B808EA"/>
    <w:rsid w:val="00B96BF7"/>
    <w:rsid w:val="00BC4612"/>
    <w:rsid w:val="00BE4020"/>
    <w:rsid w:val="00BE5550"/>
    <w:rsid w:val="00C22CED"/>
    <w:rsid w:val="00C33F8E"/>
    <w:rsid w:val="00C434E8"/>
    <w:rsid w:val="00C45E03"/>
    <w:rsid w:val="00C47ACF"/>
    <w:rsid w:val="00C6493A"/>
    <w:rsid w:val="00C85969"/>
    <w:rsid w:val="00CD1578"/>
    <w:rsid w:val="00CE55AE"/>
    <w:rsid w:val="00CE6A13"/>
    <w:rsid w:val="00CE7FA3"/>
    <w:rsid w:val="00CF506D"/>
    <w:rsid w:val="00D139A2"/>
    <w:rsid w:val="00D16764"/>
    <w:rsid w:val="00D2402F"/>
    <w:rsid w:val="00D37867"/>
    <w:rsid w:val="00D73EFB"/>
    <w:rsid w:val="00D9368B"/>
    <w:rsid w:val="00DA02BE"/>
    <w:rsid w:val="00DA0DF8"/>
    <w:rsid w:val="00DA6CCE"/>
    <w:rsid w:val="00DB2C44"/>
    <w:rsid w:val="00DB3992"/>
    <w:rsid w:val="00DC45B6"/>
    <w:rsid w:val="00DF3ECE"/>
    <w:rsid w:val="00E278F1"/>
    <w:rsid w:val="00E44EC7"/>
    <w:rsid w:val="00E52453"/>
    <w:rsid w:val="00E57B3A"/>
    <w:rsid w:val="00E643A6"/>
    <w:rsid w:val="00E66DCA"/>
    <w:rsid w:val="00E73376"/>
    <w:rsid w:val="00E7420F"/>
    <w:rsid w:val="00E753DC"/>
    <w:rsid w:val="00E81C69"/>
    <w:rsid w:val="00E87CD9"/>
    <w:rsid w:val="00EA5905"/>
    <w:rsid w:val="00EB7E4E"/>
    <w:rsid w:val="00EC5221"/>
    <w:rsid w:val="00EC56F3"/>
    <w:rsid w:val="00EE4D4D"/>
    <w:rsid w:val="00EE76FE"/>
    <w:rsid w:val="00EF445D"/>
    <w:rsid w:val="00EF58DA"/>
    <w:rsid w:val="00F00975"/>
    <w:rsid w:val="00F06D75"/>
    <w:rsid w:val="00F227F3"/>
    <w:rsid w:val="00F34F01"/>
    <w:rsid w:val="00F36D27"/>
    <w:rsid w:val="00F54164"/>
    <w:rsid w:val="00F6732C"/>
    <w:rsid w:val="00F7027F"/>
    <w:rsid w:val="00F74E34"/>
    <w:rsid w:val="00FA17CC"/>
    <w:rsid w:val="00FC64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461">
      <w:bodyDiv w:val="1"/>
      <w:marLeft w:val="0"/>
      <w:marRight w:val="0"/>
      <w:marTop w:val="0"/>
      <w:marBottom w:val="0"/>
      <w:divBdr>
        <w:top w:val="none" w:sz="0" w:space="0" w:color="auto"/>
        <w:left w:val="none" w:sz="0" w:space="0" w:color="auto"/>
        <w:bottom w:val="none" w:sz="0" w:space="0" w:color="auto"/>
        <w:right w:val="none" w:sz="0" w:space="0" w:color="auto"/>
      </w:divBdr>
    </w:div>
    <w:div w:id="151795051">
      <w:bodyDiv w:val="1"/>
      <w:marLeft w:val="0"/>
      <w:marRight w:val="0"/>
      <w:marTop w:val="0"/>
      <w:marBottom w:val="0"/>
      <w:divBdr>
        <w:top w:val="none" w:sz="0" w:space="0" w:color="auto"/>
        <w:left w:val="none" w:sz="0" w:space="0" w:color="auto"/>
        <w:bottom w:val="none" w:sz="0" w:space="0" w:color="auto"/>
        <w:right w:val="none" w:sz="0" w:space="0" w:color="auto"/>
      </w:divBdr>
    </w:div>
    <w:div w:id="248002257">
      <w:bodyDiv w:val="1"/>
      <w:marLeft w:val="0"/>
      <w:marRight w:val="0"/>
      <w:marTop w:val="0"/>
      <w:marBottom w:val="0"/>
      <w:divBdr>
        <w:top w:val="none" w:sz="0" w:space="0" w:color="auto"/>
        <w:left w:val="none" w:sz="0" w:space="0" w:color="auto"/>
        <w:bottom w:val="none" w:sz="0" w:space="0" w:color="auto"/>
        <w:right w:val="none" w:sz="0" w:space="0" w:color="auto"/>
      </w:divBdr>
    </w:div>
    <w:div w:id="249776235">
      <w:bodyDiv w:val="1"/>
      <w:marLeft w:val="0"/>
      <w:marRight w:val="0"/>
      <w:marTop w:val="0"/>
      <w:marBottom w:val="0"/>
      <w:divBdr>
        <w:top w:val="none" w:sz="0" w:space="0" w:color="auto"/>
        <w:left w:val="none" w:sz="0" w:space="0" w:color="auto"/>
        <w:bottom w:val="none" w:sz="0" w:space="0" w:color="auto"/>
        <w:right w:val="none" w:sz="0" w:space="0" w:color="auto"/>
      </w:divBdr>
    </w:div>
    <w:div w:id="301152432">
      <w:bodyDiv w:val="1"/>
      <w:marLeft w:val="0"/>
      <w:marRight w:val="0"/>
      <w:marTop w:val="0"/>
      <w:marBottom w:val="0"/>
      <w:divBdr>
        <w:top w:val="none" w:sz="0" w:space="0" w:color="auto"/>
        <w:left w:val="none" w:sz="0" w:space="0" w:color="auto"/>
        <w:bottom w:val="none" w:sz="0" w:space="0" w:color="auto"/>
        <w:right w:val="none" w:sz="0" w:space="0" w:color="auto"/>
      </w:divBdr>
    </w:div>
    <w:div w:id="521937452">
      <w:bodyDiv w:val="1"/>
      <w:marLeft w:val="0"/>
      <w:marRight w:val="0"/>
      <w:marTop w:val="0"/>
      <w:marBottom w:val="0"/>
      <w:divBdr>
        <w:top w:val="none" w:sz="0" w:space="0" w:color="auto"/>
        <w:left w:val="none" w:sz="0" w:space="0" w:color="auto"/>
        <w:bottom w:val="none" w:sz="0" w:space="0" w:color="auto"/>
        <w:right w:val="none" w:sz="0" w:space="0" w:color="auto"/>
      </w:divBdr>
    </w:div>
    <w:div w:id="529420746">
      <w:bodyDiv w:val="1"/>
      <w:marLeft w:val="0"/>
      <w:marRight w:val="0"/>
      <w:marTop w:val="0"/>
      <w:marBottom w:val="0"/>
      <w:divBdr>
        <w:top w:val="none" w:sz="0" w:space="0" w:color="auto"/>
        <w:left w:val="none" w:sz="0" w:space="0" w:color="auto"/>
        <w:bottom w:val="none" w:sz="0" w:space="0" w:color="auto"/>
        <w:right w:val="none" w:sz="0" w:space="0" w:color="auto"/>
      </w:divBdr>
    </w:div>
    <w:div w:id="626401077">
      <w:bodyDiv w:val="1"/>
      <w:marLeft w:val="0"/>
      <w:marRight w:val="0"/>
      <w:marTop w:val="0"/>
      <w:marBottom w:val="0"/>
      <w:divBdr>
        <w:top w:val="none" w:sz="0" w:space="0" w:color="auto"/>
        <w:left w:val="none" w:sz="0" w:space="0" w:color="auto"/>
        <w:bottom w:val="none" w:sz="0" w:space="0" w:color="auto"/>
        <w:right w:val="none" w:sz="0" w:space="0" w:color="auto"/>
      </w:divBdr>
    </w:div>
    <w:div w:id="640305985">
      <w:bodyDiv w:val="1"/>
      <w:marLeft w:val="0"/>
      <w:marRight w:val="0"/>
      <w:marTop w:val="0"/>
      <w:marBottom w:val="0"/>
      <w:divBdr>
        <w:top w:val="none" w:sz="0" w:space="0" w:color="auto"/>
        <w:left w:val="none" w:sz="0" w:space="0" w:color="auto"/>
        <w:bottom w:val="none" w:sz="0" w:space="0" w:color="auto"/>
        <w:right w:val="none" w:sz="0" w:space="0" w:color="auto"/>
      </w:divBdr>
    </w:div>
    <w:div w:id="685139414">
      <w:bodyDiv w:val="1"/>
      <w:marLeft w:val="0"/>
      <w:marRight w:val="0"/>
      <w:marTop w:val="0"/>
      <w:marBottom w:val="0"/>
      <w:divBdr>
        <w:top w:val="none" w:sz="0" w:space="0" w:color="auto"/>
        <w:left w:val="none" w:sz="0" w:space="0" w:color="auto"/>
        <w:bottom w:val="none" w:sz="0" w:space="0" w:color="auto"/>
        <w:right w:val="none" w:sz="0" w:space="0" w:color="auto"/>
      </w:divBdr>
    </w:div>
    <w:div w:id="820930821">
      <w:bodyDiv w:val="1"/>
      <w:marLeft w:val="0"/>
      <w:marRight w:val="0"/>
      <w:marTop w:val="0"/>
      <w:marBottom w:val="0"/>
      <w:divBdr>
        <w:top w:val="none" w:sz="0" w:space="0" w:color="auto"/>
        <w:left w:val="none" w:sz="0" w:space="0" w:color="auto"/>
        <w:bottom w:val="none" w:sz="0" w:space="0" w:color="auto"/>
        <w:right w:val="none" w:sz="0" w:space="0" w:color="auto"/>
      </w:divBdr>
    </w:div>
    <w:div w:id="867107794">
      <w:bodyDiv w:val="1"/>
      <w:marLeft w:val="0"/>
      <w:marRight w:val="0"/>
      <w:marTop w:val="0"/>
      <w:marBottom w:val="0"/>
      <w:divBdr>
        <w:top w:val="none" w:sz="0" w:space="0" w:color="auto"/>
        <w:left w:val="none" w:sz="0" w:space="0" w:color="auto"/>
        <w:bottom w:val="none" w:sz="0" w:space="0" w:color="auto"/>
        <w:right w:val="none" w:sz="0" w:space="0" w:color="auto"/>
      </w:divBdr>
    </w:div>
    <w:div w:id="916787468">
      <w:bodyDiv w:val="1"/>
      <w:marLeft w:val="0"/>
      <w:marRight w:val="0"/>
      <w:marTop w:val="0"/>
      <w:marBottom w:val="0"/>
      <w:divBdr>
        <w:top w:val="none" w:sz="0" w:space="0" w:color="auto"/>
        <w:left w:val="none" w:sz="0" w:space="0" w:color="auto"/>
        <w:bottom w:val="none" w:sz="0" w:space="0" w:color="auto"/>
        <w:right w:val="none" w:sz="0" w:space="0" w:color="auto"/>
      </w:divBdr>
    </w:div>
    <w:div w:id="962492474">
      <w:bodyDiv w:val="1"/>
      <w:marLeft w:val="0"/>
      <w:marRight w:val="0"/>
      <w:marTop w:val="0"/>
      <w:marBottom w:val="0"/>
      <w:divBdr>
        <w:top w:val="none" w:sz="0" w:space="0" w:color="auto"/>
        <w:left w:val="none" w:sz="0" w:space="0" w:color="auto"/>
        <w:bottom w:val="none" w:sz="0" w:space="0" w:color="auto"/>
        <w:right w:val="none" w:sz="0" w:space="0" w:color="auto"/>
      </w:divBdr>
    </w:div>
    <w:div w:id="1007176460">
      <w:bodyDiv w:val="1"/>
      <w:marLeft w:val="0"/>
      <w:marRight w:val="0"/>
      <w:marTop w:val="0"/>
      <w:marBottom w:val="0"/>
      <w:divBdr>
        <w:top w:val="none" w:sz="0" w:space="0" w:color="auto"/>
        <w:left w:val="none" w:sz="0" w:space="0" w:color="auto"/>
        <w:bottom w:val="none" w:sz="0" w:space="0" w:color="auto"/>
        <w:right w:val="none" w:sz="0" w:space="0" w:color="auto"/>
      </w:divBdr>
    </w:div>
    <w:div w:id="1089275222">
      <w:bodyDiv w:val="1"/>
      <w:marLeft w:val="0"/>
      <w:marRight w:val="0"/>
      <w:marTop w:val="0"/>
      <w:marBottom w:val="0"/>
      <w:divBdr>
        <w:top w:val="none" w:sz="0" w:space="0" w:color="auto"/>
        <w:left w:val="none" w:sz="0" w:space="0" w:color="auto"/>
        <w:bottom w:val="none" w:sz="0" w:space="0" w:color="auto"/>
        <w:right w:val="none" w:sz="0" w:space="0" w:color="auto"/>
      </w:divBdr>
    </w:div>
    <w:div w:id="1142581482">
      <w:bodyDiv w:val="1"/>
      <w:marLeft w:val="0"/>
      <w:marRight w:val="0"/>
      <w:marTop w:val="0"/>
      <w:marBottom w:val="0"/>
      <w:divBdr>
        <w:top w:val="none" w:sz="0" w:space="0" w:color="auto"/>
        <w:left w:val="none" w:sz="0" w:space="0" w:color="auto"/>
        <w:bottom w:val="none" w:sz="0" w:space="0" w:color="auto"/>
        <w:right w:val="none" w:sz="0" w:space="0" w:color="auto"/>
      </w:divBdr>
    </w:div>
    <w:div w:id="1186796547">
      <w:bodyDiv w:val="1"/>
      <w:marLeft w:val="0"/>
      <w:marRight w:val="0"/>
      <w:marTop w:val="0"/>
      <w:marBottom w:val="0"/>
      <w:divBdr>
        <w:top w:val="none" w:sz="0" w:space="0" w:color="auto"/>
        <w:left w:val="none" w:sz="0" w:space="0" w:color="auto"/>
        <w:bottom w:val="none" w:sz="0" w:space="0" w:color="auto"/>
        <w:right w:val="none" w:sz="0" w:space="0" w:color="auto"/>
      </w:divBdr>
    </w:div>
    <w:div w:id="1243295183">
      <w:bodyDiv w:val="1"/>
      <w:marLeft w:val="0"/>
      <w:marRight w:val="0"/>
      <w:marTop w:val="0"/>
      <w:marBottom w:val="0"/>
      <w:divBdr>
        <w:top w:val="none" w:sz="0" w:space="0" w:color="auto"/>
        <w:left w:val="none" w:sz="0" w:space="0" w:color="auto"/>
        <w:bottom w:val="none" w:sz="0" w:space="0" w:color="auto"/>
        <w:right w:val="none" w:sz="0" w:space="0" w:color="auto"/>
      </w:divBdr>
    </w:div>
    <w:div w:id="1401633157">
      <w:bodyDiv w:val="1"/>
      <w:marLeft w:val="0"/>
      <w:marRight w:val="0"/>
      <w:marTop w:val="0"/>
      <w:marBottom w:val="0"/>
      <w:divBdr>
        <w:top w:val="none" w:sz="0" w:space="0" w:color="auto"/>
        <w:left w:val="none" w:sz="0" w:space="0" w:color="auto"/>
        <w:bottom w:val="none" w:sz="0" w:space="0" w:color="auto"/>
        <w:right w:val="none" w:sz="0" w:space="0" w:color="auto"/>
      </w:divBdr>
    </w:div>
    <w:div w:id="1403404582">
      <w:bodyDiv w:val="1"/>
      <w:marLeft w:val="0"/>
      <w:marRight w:val="0"/>
      <w:marTop w:val="0"/>
      <w:marBottom w:val="0"/>
      <w:divBdr>
        <w:top w:val="none" w:sz="0" w:space="0" w:color="auto"/>
        <w:left w:val="none" w:sz="0" w:space="0" w:color="auto"/>
        <w:bottom w:val="none" w:sz="0" w:space="0" w:color="auto"/>
        <w:right w:val="none" w:sz="0" w:space="0" w:color="auto"/>
      </w:divBdr>
    </w:div>
    <w:div w:id="1422871577">
      <w:bodyDiv w:val="1"/>
      <w:marLeft w:val="0"/>
      <w:marRight w:val="0"/>
      <w:marTop w:val="0"/>
      <w:marBottom w:val="0"/>
      <w:divBdr>
        <w:top w:val="none" w:sz="0" w:space="0" w:color="auto"/>
        <w:left w:val="none" w:sz="0" w:space="0" w:color="auto"/>
        <w:bottom w:val="none" w:sz="0" w:space="0" w:color="auto"/>
        <w:right w:val="none" w:sz="0" w:space="0" w:color="auto"/>
      </w:divBdr>
    </w:div>
    <w:div w:id="1527137624">
      <w:bodyDiv w:val="1"/>
      <w:marLeft w:val="0"/>
      <w:marRight w:val="0"/>
      <w:marTop w:val="0"/>
      <w:marBottom w:val="0"/>
      <w:divBdr>
        <w:top w:val="none" w:sz="0" w:space="0" w:color="auto"/>
        <w:left w:val="none" w:sz="0" w:space="0" w:color="auto"/>
        <w:bottom w:val="none" w:sz="0" w:space="0" w:color="auto"/>
        <w:right w:val="none" w:sz="0" w:space="0" w:color="auto"/>
      </w:divBdr>
    </w:div>
    <w:div w:id="1548838048">
      <w:bodyDiv w:val="1"/>
      <w:marLeft w:val="0"/>
      <w:marRight w:val="0"/>
      <w:marTop w:val="0"/>
      <w:marBottom w:val="0"/>
      <w:divBdr>
        <w:top w:val="none" w:sz="0" w:space="0" w:color="auto"/>
        <w:left w:val="none" w:sz="0" w:space="0" w:color="auto"/>
        <w:bottom w:val="none" w:sz="0" w:space="0" w:color="auto"/>
        <w:right w:val="none" w:sz="0" w:space="0" w:color="auto"/>
      </w:divBdr>
    </w:div>
    <w:div w:id="1590313935">
      <w:bodyDiv w:val="1"/>
      <w:marLeft w:val="0"/>
      <w:marRight w:val="0"/>
      <w:marTop w:val="0"/>
      <w:marBottom w:val="0"/>
      <w:divBdr>
        <w:top w:val="none" w:sz="0" w:space="0" w:color="auto"/>
        <w:left w:val="none" w:sz="0" w:space="0" w:color="auto"/>
        <w:bottom w:val="none" w:sz="0" w:space="0" w:color="auto"/>
        <w:right w:val="none" w:sz="0" w:space="0" w:color="auto"/>
      </w:divBdr>
    </w:div>
    <w:div w:id="1596286221">
      <w:bodyDiv w:val="1"/>
      <w:marLeft w:val="0"/>
      <w:marRight w:val="0"/>
      <w:marTop w:val="0"/>
      <w:marBottom w:val="0"/>
      <w:divBdr>
        <w:top w:val="none" w:sz="0" w:space="0" w:color="auto"/>
        <w:left w:val="none" w:sz="0" w:space="0" w:color="auto"/>
        <w:bottom w:val="none" w:sz="0" w:space="0" w:color="auto"/>
        <w:right w:val="none" w:sz="0" w:space="0" w:color="auto"/>
      </w:divBdr>
    </w:div>
    <w:div w:id="1639190397">
      <w:bodyDiv w:val="1"/>
      <w:marLeft w:val="0"/>
      <w:marRight w:val="0"/>
      <w:marTop w:val="0"/>
      <w:marBottom w:val="0"/>
      <w:divBdr>
        <w:top w:val="none" w:sz="0" w:space="0" w:color="auto"/>
        <w:left w:val="none" w:sz="0" w:space="0" w:color="auto"/>
        <w:bottom w:val="none" w:sz="0" w:space="0" w:color="auto"/>
        <w:right w:val="none" w:sz="0" w:space="0" w:color="auto"/>
      </w:divBdr>
    </w:div>
    <w:div w:id="1748727152">
      <w:bodyDiv w:val="1"/>
      <w:marLeft w:val="0"/>
      <w:marRight w:val="0"/>
      <w:marTop w:val="0"/>
      <w:marBottom w:val="0"/>
      <w:divBdr>
        <w:top w:val="none" w:sz="0" w:space="0" w:color="auto"/>
        <w:left w:val="none" w:sz="0" w:space="0" w:color="auto"/>
        <w:bottom w:val="none" w:sz="0" w:space="0" w:color="auto"/>
        <w:right w:val="none" w:sz="0" w:space="0" w:color="auto"/>
      </w:divBdr>
    </w:div>
    <w:div w:id="1754165072">
      <w:bodyDiv w:val="1"/>
      <w:marLeft w:val="0"/>
      <w:marRight w:val="0"/>
      <w:marTop w:val="0"/>
      <w:marBottom w:val="0"/>
      <w:divBdr>
        <w:top w:val="none" w:sz="0" w:space="0" w:color="auto"/>
        <w:left w:val="none" w:sz="0" w:space="0" w:color="auto"/>
        <w:bottom w:val="none" w:sz="0" w:space="0" w:color="auto"/>
        <w:right w:val="none" w:sz="0" w:space="0" w:color="auto"/>
      </w:divBdr>
    </w:div>
    <w:div w:id="1780175940">
      <w:bodyDiv w:val="1"/>
      <w:marLeft w:val="0"/>
      <w:marRight w:val="0"/>
      <w:marTop w:val="0"/>
      <w:marBottom w:val="0"/>
      <w:divBdr>
        <w:top w:val="none" w:sz="0" w:space="0" w:color="auto"/>
        <w:left w:val="none" w:sz="0" w:space="0" w:color="auto"/>
        <w:bottom w:val="none" w:sz="0" w:space="0" w:color="auto"/>
        <w:right w:val="none" w:sz="0" w:space="0" w:color="auto"/>
      </w:divBdr>
    </w:div>
    <w:div w:id="1851019787">
      <w:bodyDiv w:val="1"/>
      <w:marLeft w:val="0"/>
      <w:marRight w:val="0"/>
      <w:marTop w:val="0"/>
      <w:marBottom w:val="0"/>
      <w:divBdr>
        <w:top w:val="none" w:sz="0" w:space="0" w:color="auto"/>
        <w:left w:val="none" w:sz="0" w:space="0" w:color="auto"/>
        <w:bottom w:val="none" w:sz="0" w:space="0" w:color="auto"/>
        <w:right w:val="none" w:sz="0" w:space="0" w:color="auto"/>
      </w:divBdr>
    </w:div>
    <w:div w:id="1916157762">
      <w:bodyDiv w:val="1"/>
      <w:marLeft w:val="0"/>
      <w:marRight w:val="0"/>
      <w:marTop w:val="0"/>
      <w:marBottom w:val="0"/>
      <w:divBdr>
        <w:top w:val="none" w:sz="0" w:space="0" w:color="auto"/>
        <w:left w:val="none" w:sz="0" w:space="0" w:color="auto"/>
        <w:bottom w:val="none" w:sz="0" w:space="0" w:color="auto"/>
        <w:right w:val="none" w:sz="0" w:space="0" w:color="auto"/>
      </w:divBdr>
    </w:div>
    <w:div w:id="1964848166">
      <w:bodyDiv w:val="1"/>
      <w:marLeft w:val="0"/>
      <w:marRight w:val="0"/>
      <w:marTop w:val="0"/>
      <w:marBottom w:val="0"/>
      <w:divBdr>
        <w:top w:val="none" w:sz="0" w:space="0" w:color="auto"/>
        <w:left w:val="none" w:sz="0" w:space="0" w:color="auto"/>
        <w:bottom w:val="none" w:sz="0" w:space="0" w:color="auto"/>
        <w:right w:val="none" w:sz="0" w:space="0" w:color="auto"/>
      </w:divBdr>
    </w:div>
    <w:div w:id="1996446943">
      <w:bodyDiv w:val="1"/>
      <w:marLeft w:val="0"/>
      <w:marRight w:val="0"/>
      <w:marTop w:val="0"/>
      <w:marBottom w:val="0"/>
      <w:divBdr>
        <w:top w:val="none" w:sz="0" w:space="0" w:color="auto"/>
        <w:left w:val="none" w:sz="0" w:space="0" w:color="auto"/>
        <w:bottom w:val="none" w:sz="0" w:space="0" w:color="auto"/>
        <w:right w:val="none" w:sz="0" w:space="0" w:color="auto"/>
      </w:divBdr>
    </w:div>
    <w:div w:id="2080326998">
      <w:bodyDiv w:val="1"/>
      <w:marLeft w:val="0"/>
      <w:marRight w:val="0"/>
      <w:marTop w:val="0"/>
      <w:marBottom w:val="0"/>
      <w:divBdr>
        <w:top w:val="none" w:sz="0" w:space="0" w:color="auto"/>
        <w:left w:val="none" w:sz="0" w:space="0" w:color="auto"/>
        <w:bottom w:val="none" w:sz="0" w:space="0" w:color="auto"/>
        <w:right w:val="none" w:sz="0" w:space="0" w:color="auto"/>
      </w:divBdr>
    </w:div>
    <w:div w:id="212461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12.jpeg"/><Relationship Id="rId21" Type="http://schemas.openxmlformats.org/officeDocument/2006/relationships/image" Target="media/image5.emf"/><Relationship Id="rId34" Type="http://schemas.openxmlformats.org/officeDocument/2006/relationships/chart" Target="charts/chart12.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image" Target="media/image4.emf"/><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esktop\Pr&#225;ctica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sz="1400"/>
            </a:pPr>
            <a:r>
              <a:rPr lang="es-ES" sz="1400"/>
              <a:t>Pirámide</a:t>
            </a:r>
            <a:r>
              <a:rPr lang="es-ES" sz="1400" baseline="0"/>
              <a:t> de población (ADRICTE)</a:t>
            </a:r>
            <a:endParaRPr lang="es-ES" sz="1400"/>
          </a:p>
        </c:rich>
      </c:tx>
      <c:layout/>
      <c:overlay val="0"/>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1.6281608149899946E-2</c:v>
                </c:pt>
                <c:pt idx="1">
                  <c:v>1.5008186283427325E-2</c:v>
                </c:pt>
                <c:pt idx="2">
                  <c:v>1.4553392759687101E-2</c:v>
                </c:pt>
                <c:pt idx="3">
                  <c:v>1.6918319083136256E-2</c:v>
                </c:pt>
                <c:pt idx="4">
                  <c:v>2.3285428415499364E-2</c:v>
                </c:pt>
                <c:pt idx="5">
                  <c:v>2.4467891577223941E-2</c:v>
                </c:pt>
                <c:pt idx="6">
                  <c:v>2.5286519919956341E-2</c:v>
                </c:pt>
                <c:pt idx="7">
                  <c:v>2.8742950700382026E-2</c:v>
                </c:pt>
                <c:pt idx="8">
                  <c:v>2.7014735310169184E-2</c:v>
                </c:pt>
                <c:pt idx="9">
                  <c:v>2.8470074586137893E-2</c:v>
                </c:pt>
                <c:pt idx="10">
                  <c:v>3.0198289976350736E-2</c:v>
                </c:pt>
                <c:pt idx="11">
                  <c:v>2.4649808986720031E-2</c:v>
                </c:pt>
                <c:pt idx="12">
                  <c:v>2.610514826268874E-2</c:v>
                </c:pt>
                <c:pt idx="13">
                  <c:v>2.8288157176641803E-2</c:v>
                </c:pt>
                <c:pt idx="14">
                  <c:v>2.7287611424413317E-2</c:v>
                </c:pt>
                <c:pt idx="15">
                  <c:v>3.9021284336911044E-2</c:v>
                </c:pt>
                <c:pt idx="16">
                  <c:v>3.7838821175186464E-2</c:v>
                </c:pt>
                <c:pt idx="17">
                  <c:v>2.3467345824995451E-2</c:v>
                </c:pt>
                <c:pt idx="18">
                  <c:v>1.1278879388757504E-2</c:v>
                </c:pt>
                <c:pt idx="19">
                  <c:v>2.6378024376932873E-3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-1.5372021102419501E-2</c:v>
                </c:pt>
                <c:pt idx="1">
                  <c:v>-1.6463525559396033E-2</c:v>
                </c:pt>
                <c:pt idx="2">
                  <c:v>-1.5826814626159723E-2</c:v>
                </c:pt>
                <c:pt idx="3">
                  <c:v>-2.0465708568309988E-2</c:v>
                </c:pt>
                <c:pt idx="4">
                  <c:v>-2.5832272148444607E-2</c:v>
                </c:pt>
                <c:pt idx="5">
                  <c:v>-2.883390940513007E-2</c:v>
                </c:pt>
                <c:pt idx="6">
                  <c:v>-3.5655812261233398E-2</c:v>
                </c:pt>
                <c:pt idx="7">
                  <c:v>-3.9748953974895397E-2</c:v>
                </c:pt>
                <c:pt idx="8">
                  <c:v>-3.5564853556485358E-2</c:v>
                </c:pt>
                <c:pt idx="9">
                  <c:v>-4.1841004184100417E-2</c:v>
                </c:pt>
                <c:pt idx="10">
                  <c:v>-3.8202655994178644E-2</c:v>
                </c:pt>
                <c:pt idx="11">
                  <c:v>-3.2927051118792065E-2</c:v>
                </c:pt>
                <c:pt idx="12">
                  <c:v>-3.0835000909587046E-2</c:v>
                </c:pt>
                <c:pt idx="13">
                  <c:v>-3.2017464071311626E-2</c:v>
                </c:pt>
                <c:pt idx="14">
                  <c:v>-2.3649263234491541E-2</c:v>
                </c:pt>
                <c:pt idx="15">
                  <c:v>-3.6838275422957978E-2</c:v>
                </c:pt>
                <c:pt idx="16">
                  <c:v>-3.3745679461524465E-2</c:v>
                </c:pt>
                <c:pt idx="17">
                  <c:v>-1.7918864835364746E-2</c:v>
                </c:pt>
                <c:pt idx="18">
                  <c:v>-6.4580680371111518E-3</c:v>
                </c:pt>
                <c:pt idx="19">
                  <c:v>-1.0005457522284883E-3</c:v>
                </c:pt>
              </c:numCache>
            </c:numRef>
          </c:val>
        </c:ser>
        <c:dLbls>
          <c:showLegendKey val="0"/>
          <c:showVal val="0"/>
          <c:showCatName val="0"/>
          <c:showSerName val="0"/>
          <c:showPercent val="0"/>
          <c:showBubbleSize val="0"/>
        </c:dLbls>
        <c:gapWidth val="150"/>
        <c:axId val="104661504"/>
        <c:axId val="81983104"/>
      </c:barChart>
      <c:catAx>
        <c:axId val="104661504"/>
        <c:scaling>
          <c:orientation val="minMax"/>
        </c:scaling>
        <c:delete val="0"/>
        <c:axPos val="l"/>
        <c:majorTickMark val="out"/>
        <c:minorTickMark val="none"/>
        <c:tickLblPos val="low"/>
        <c:crossAx val="81983104"/>
        <c:crosses val="autoZero"/>
        <c:auto val="1"/>
        <c:lblAlgn val="ctr"/>
        <c:lblOffset val="100"/>
        <c:noMultiLvlLbl val="0"/>
      </c:catAx>
      <c:valAx>
        <c:axId val="81983104"/>
        <c:scaling>
          <c:orientation val="minMax"/>
        </c:scaling>
        <c:delete val="1"/>
        <c:axPos val="b"/>
        <c:majorGridlines/>
        <c:numFmt formatCode="General" sourceLinked="1"/>
        <c:majorTickMark val="out"/>
        <c:minorTickMark val="none"/>
        <c:tickLblPos val="nextTo"/>
        <c:crossAx val="10466150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sz="1400"/>
            </a:pPr>
            <a:r>
              <a:rPr lang="es-ES" sz="1400"/>
              <a:t>ADRICTE</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6.7713782280711413E-2"/>
          <c:y val="0.12138112776225553"/>
          <c:w val="0.90824775618082709"/>
          <c:h val="0.63128175006350018"/>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SEP'!$B$9:$B$21</c:f>
              <c:numCache>
                <c:formatCode>General</c:formatCode>
                <c:ptCount val="12"/>
                <c:pt idx="0">
                  <c:v>9</c:v>
                </c:pt>
                <c:pt idx="1">
                  <c:v>66</c:v>
                </c:pt>
                <c:pt idx="2">
                  <c:v>125</c:v>
                </c:pt>
                <c:pt idx="3">
                  <c:v>233</c:v>
                </c:pt>
                <c:pt idx="4">
                  <c:v>257</c:v>
                </c:pt>
                <c:pt idx="5">
                  <c:v>256</c:v>
                </c:pt>
                <c:pt idx="6">
                  <c:v>289</c:v>
                </c:pt>
                <c:pt idx="7">
                  <c:v>262</c:v>
                </c:pt>
                <c:pt idx="8">
                  <c:v>218</c:v>
                </c:pt>
                <c:pt idx="9">
                  <c:v>225</c:v>
                </c:pt>
                <c:pt idx="10">
                  <c:v>8</c:v>
                </c:pt>
                <c:pt idx="11">
                  <c:v>2</c:v>
                </c:pt>
              </c:numCache>
            </c:numRef>
          </c:val>
        </c:ser>
        <c:ser>
          <c:idx val="1"/>
          <c:order val="1"/>
          <c:tx>
            <c:strRef>
              <c:f>'afiliaciones tramos y grupo SEP'!$C$7:$C$8</c:f>
              <c:strCache>
                <c:ptCount val="1"/>
                <c:pt idx="0">
                  <c:v>Suma de Mujeres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SEP'!$C$9:$C$21</c:f>
              <c:numCache>
                <c:formatCode>General</c:formatCode>
                <c:ptCount val="12"/>
                <c:pt idx="0">
                  <c:v>5</c:v>
                </c:pt>
                <c:pt idx="1">
                  <c:v>33</c:v>
                </c:pt>
                <c:pt idx="2">
                  <c:v>75</c:v>
                </c:pt>
                <c:pt idx="3">
                  <c:v>91</c:v>
                </c:pt>
                <c:pt idx="4">
                  <c:v>108</c:v>
                </c:pt>
                <c:pt idx="5">
                  <c:v>123</c:v>
                </c:pt>
                <c:pt idx="6">
                  <c:v>151</c:v>
                </c:pt>
                <c:pt idx="7">
                  <c:v>154</c:v>
                </c:pt>
                <c:pt idx="8">
                  <c:v>131</c:v>
                </c:pt>
                <c:pt idx="9">
                  <c:v>104</c:v>
                </c:pt>
                <c:pt idx="10">
                  <c:v>13</c:v>
                </c:pt>
              </c:numCache>
            </c:numRef>
          </c:val>
        </c:ser>
        <c:ser>
          <c:idx val="2"/>
          <c:order val="2"/>
          <c:tx>
            <c:strRef>
              <c:f>'afiliaciones tramos y grupo SEP'!$D$7:$D$8</c:f>
              <c:strCache>
                <c:ptCount val="1"/>
                <c:pt idx="0">
                  <c:v>Suma de total</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SEP'!$D$9:$D$21</c:f>
              <c:numCache>
                <c:formatCode>General</c:formatCode>
                <c:ptCount val="12"/>
                <c:pt idx="0">
                  <c:v>14</c:v>
                </c:pt>
                <c:pt idx="1">
                  <c:v>99</c:v>
                </c:pt>
                <c:pt idx="2">
                  <c:v>200</c:v>
                </c:pt>
                <c:pt idx="3">
                  <c:v>324</c:v>
                </c:pt>
                <c:pt idx="4">
                  <c:v>365</c:v>
                </c:pt>
                <c:pt idx="5">
                  <c:v>379</c:v>
                </c:pt>
                <c:pt idx="6">
                  <c:v>440</c:v>
                </c:pt>
                <c:pt idx="7">
                  <c:v>416</c:v>
                </c:pt>
                <c:pt idx="8">
                  <c:v>349</c:v>
                </c:pt>
                <c:pt idx="9">
                  <c:v>329</c:v>
                </c:pt>
                <c:pt idx="10">
                  <c:v>21</c:v>
                </c:pt>
                <c:pt idx="11">
                  <c:v>2</c:v>
                </c:pt>
              </c:numCache>
            </c:numRef>
          </c:val>
        </c:ser>
        <c:dLbls>
          <c:showLegendKey val="0"/>
          <c:showVal val="0"/>
          <c:showCatName val="0"/>
          <c:showSerName val="0"/>
          <c:showPercent val="0"/>
          <c:showBubbleSize val="0"/>
        </c:dLbls>
        <c:gapWidth val="150"/>
        <c:axId val="105212928"/>
        <c:axId val="105270656"/>
      </c:barChart>
      <c:catAx>
        <c:axId val="105212928"/>
        <c:scaling>
          <c:orientation val="minMax"/>
        </c:scaling>
        <c:delete val="0"/>
        <c:axPos val="b"/>
        <c:majorTickMark val="out"/>
        <c:minorTickMark val="none"/>
        <c:tickLblPos val="nextTo"/>
        <c:crossAx val="105270656"/>
        <c:crosses val="autoZero"/>
        <c:auto val="1"/>
        <c:lblAlgn val="ctr"/>
        <c:lblOffset val="100"/>
        <c:noMultiLvlLbl val="0"/>
      </c:catAx>
      <c:valAx>
        <c:axId val="105270656"/>
        <c:scaling>
          <c:orientation val="minMax"/>
        </c:scaling>
        <c:delete val="0"/>
        <c:axPos val="l"/>
        <c:majorGridlines/>
        <c:numFmt formatCode="General" sourceLinked="1"/>
        <c:majorTickMark val="out"/>
        <c:minorTickMark val="none"/>
        <c:tickLblPos val="nextTo"/>
        <c:crossAx val="105212928"/>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ADRICTE</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6.7713782280711413E-2"/>
          <c:y val="0.10204261929608195"/>
          <c:w val="0.90824775618082709"/>
          <c:h val="0.66701006783037664"/>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8</c:v>
                </c:pt>
                <c:pt idx="1">
                  <c:v>79</c:v>
                </c:pt>
                <c:pt idx="2">
                  <c:v>139</c:v>
                </c:pt>
                <c:pt idx="3">
                  <c:v>235</c:v>
                </c:pt>
                <c:pt idx="4">
                  <c:v>281</c:v>
                </c:pt>
                <c:pt idx="5">
                  <c:v>277</c:v>
                </c:pt>
                <c:pt idx="6">
                  <c:v>275</c:v>
                </c:pt>
                <c:pt idx="7">
                  <c:v>297</c:v>
                </c:pt>
                <c:pt idx="8">
                  <c:v>228</c:v>
                </c:pt>
                <c:pt idx="9">
                  <c:v>229</c:v>
                </c:pt>
                <c:pt idx="10">
                  <c:v>15</c:v>
                </c:pt>
                <c:pt idx="11">
                  <c:v>3</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4</c:v>
                </c:pt>
                <c:pt idx="1">
                  <c:v>39</c:v>
                </c:pt>
                <c:pt idx="2">
                  <c:v>79</c:v>
                </c:pt>
                <c:pt idx="3">
                  <c:v>90</c:v>
                </c:pt>
                <c:pt idx="4">
                  <c:v>102</c:v>
                </c:pt>
                <c:pt idx="5">
                  <c:v>137</c:v>
                </c:pt>
                <c:pt idx="6">
                  <c:v>148</c:v>
                </c:pt>
                <c:pt idx="7">
                  <c:v>156</c:v>
                </c:pt>
                <c:pt idx="8">
                  <c:v>122</c:v>
                </c:pt>
                <c:pt idx="9">
                  <c:v>118</c:v>
                </c:pt>
                <c:pt idx="10">
                  <c:v>8</c:v>
                </c:pt>
              </c:numCache>
            </c:numRef>
          </c:val>
        </c:ser>
        <c:dLbls>
          <c:showLegendKey val="0"/>
          <c:showVal val="0"/>
          <c:showCatName val="0"/>
          <c:showSerName val="0"/>
          <c:showPercent val="0"/>
          <c:showBubbleSize val="0"/>
        </c:dLbls>
        <c:gapWidth val="150"/>
        <c:axId val="105210880"/>
        <c:axId val="105272384"/>
      </c:barChart>
      <c:catAx>
        <c:axId val="105210880"/>
        <c:scaling>
          <c:orientation val="minMax"/>
        </c:scaling>
        <c:delete val="0"/>
        <c:axPos val="b"/>
        <c:majorTickMark val="out"/>
        <c:minorTickMark val="none"/>
        <c:tickLblPos val="nextTo"/>
        <c:crossAx val="105272384"/>
        <c:crosses val="autoZero"/>
        <c:auto val="1"/>
        <c:lblAlgn val="ctr"/>
        <c:lblOffset val="100"/>
        <c:noMultiLvlLbl val="0"/>
      </c:catAx>
      <c:valAx>
        <c:axId val="105272384"/>
        <c:scaling>
          <c:orientation val="minMax"/>
        </c:scaling>
        <c:delete val="0"/>
        <c:axPos val="l"/>
        <c:majorGridlines/>
        <c:numFmt formatCode="General" sourceLinked="1"/>
        <c:majorTickMark val="out"/>
        <c:minorTickMark val="none"/>
        <c:tickLblPos val="nextTo"/>
        <c:crossAx val="10521088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JUN!Tabla dinámica1</c:name>
    <c:fmtId val="-1"/>
  </c:pivotSource>
  <c:chart>
    <c:title>
      <c:tx>
        <c:rich>
          <a:bodyPr/>
          <a:lstStyle/>
          <a:p>
            <a:pPr>
              <a:defRPr sz="1400"/>
            </a:pPr>
            <a:r>
              <a:rPr lang="es-ES" sz="1400"/>
              <a:t>Altas</a:t>
            </a:r>
            <a:r>
              <a:rPr lang="es-ES" sz="1400" baseline="0"/>
              <a:t> por sector y grupo de actividad</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5.6787208854137988E-2"/>
          <c:y val="0.13538170611326647"/>
          <c:w val="0.73123726667033739"/>
          <c:h val="0.72148911870710042"/>
        </c:manualLayout>
      </c:layout>
      <c:bar3DChart>
        <c:barDir val="col"/>
        <c:grouping val="clustered"/>
        <c:varyColors val="0"/>
        <c:ser>
          <c:idx val="0"/>
          <c:order val="0"/>
          <c:tx>
            <c:strRef>
              <c:f>'Tabla régimen-actividad JUN'!$B$7:$B$8</c:f>
              <c:strCache>
                <c:ptCount val="1"/>
                <c:pt idx="0">
                  <c:v>Total del régimen Agricultura, ganadería y pesca</c:v>
                </c:pt>
              </c:strCache>
            </c:strRef>
          </c:tx>
          <c:invertIfNegative val="0"/>
          <c:cat>
            <c:multiLvlStrRef>
              <c:f>'Tabla régimen-actividad JUN'!$A$9:$A$11</c:f>
              <c:multiLvlStrCache>
                <c:ptCount val="2"/>
                <c:lvl>
                  <c:pt idx="0">
                    <c:v>Autónomos</c:v>
                  </c:pt>
                  <c:pt idx="1">
                    <c:v>General</c:v>
                  </c:pt>
                </c:lvl>
                <c:lvl>
                  <c:pt idx="0">
                    <c:v>ADRICTE</c:v>
                  </c:pt>
                </c:lvl>
              </c:multiLvlStrCache>
            </c:multiLvlStrRef>
          </c:cat>
          <c:val>
            <c:numRef>
              <c:f>'Tabla régimen-actividad JUN'!$B$9:$B$11</c:f>
              <c:numCache>
                <c:formatCode>General</c:formatCode>
                <c:ptCount val="2"/>
                <c:pt idx="0">
                  <c:v>598</c:v>
                </c:pt>
                <c:pt idx="1">
                  <c:v>142</c:v>
                </c:pt>
              </c:numCache>
            </c:numRef>
          </c:val>
        </c:ser>
        <c:ser>
          <c:idx val="1"/>
          <c:order val="1"/>
          <c:tx>
            <c:strRef>
              <c:f>'Tabla régimen-actividad JUN'!$C$7:$C$8</c:f>
              <c:strCache>
                <c:ptCount val="1"/>
                <c:pt idx="0">
                  <c:v>Total del régimen Industria y energía</c:v>
                </c:pt>
              </c:strCache>
            </c:strRef>
          </c:tx>
          <c:invertIfNegative val="0"/>
          <c:cat>
            <c:multiLvlStrRef>
              <c:f>'Tabla régimen-actividad JUN'!$A$9:$A$11</c:f>
              <c:multiLvlStrCache>
                <c:ptCount val="2"/>
                <c:lvl>
                  <c:pt idx="0">
                    <c:v>Autónomos</c:v>
                  </c:pt>
                  <c:pt idx="1">
                    <c:v>General</c:v>
                  </c:pt>
                </c:lvl>
                <c:lvl>
                  <c:pt idx="0">
                    <c:v>ADRICTE</c:v>
                  </c:pt>
                </c:lvl>
              </c:multiLvlStrCache>
            </c:multiLvlStrRef>
          </c:cat>
          <c:val>
            <c:numRef>
              <c:f>'Tabla régimen-actividad JUN'!$C$9:$C$11</c:f>
              <c:numCache>
                <c:formatCode>General</c:formatCode>
                <c:ptCount val="2"/>
                <c:pt idx="0">
                  <c:v>81</c:v>
                </c:pt>
                <c:pt idx="1">
                  <c:v>748</c:v>
                </c:pt>
              </c:numCache>
            </c:numRef>
          </c:val>
        </c:ser>
        <c:ser>
          <c:idx val="2"/>
          <c:order val="2"/>
          <c:tx>
            <c:strRef>
              <c:f>'Tabla régimen-actividad JUN'!$D$7:$D$8</c:f>
              <c:strCache>
                <c:ptCount val="1"/>
                <c:pt idx="0">
                  <c:v>Total del régimen Construcción</c:v>
                </c:pt>
              </c:strCache>
            </c:strRef>
          </c:tx>
          <c:invertIfNegative val="0"/>
          <c:cat>
            <c:multiLvlStrRef>
              <c:f>'Tabla régimen-actividad JUN'!$A$9:$A$11</c:f>
              <c:multiLvlStrCache>
                <c:ptCount val="2"/>
                <c:lvl>
                  <c:pt idx="0">
                    <c:v>Autónomos</c:v>
                  </c:pt>
                  <c:pt idx="1">
                    <c:v>General</c:v>
                  </c:pt>
                </c:lvl>
                <c:lvl>
                  <c:pt idx="0">
                    <c:v>ADRICTE</c:v>
                  </c:pt>
                </c:lvl>
              </c:multiLvlStrCache>
            </c:multiLvlStrRef>
          </c:cat>
          <c:val>
            <c:numRef>
              <c:f>'Tabla régimen-actividad JUN'!$D$9:$D$11</c:f>
              <c:numCache>
                <c:formatCode>General</c:formatCode>
                <c:ptCount val="2"/>
                <c:pt idx="0">
                  <c:v>169</c:v>
                </c:pt>
                <c:pt idx="1">
                  <c:v>145</c:v>
                </c:pt>
              </c:numCache>
            </c:numRef>
          </c:val>
        </c:ser>
        <c:ser>
          <c:idx val="3"/>
          <c:order val="3"/>
          <c:tx>
            <c:strRef>
              <c:f>'Tabla régimen-actividad JUN'!$E$7:$E$8</c:f>
              <c:strCache>
                <c:ptCount val="1"/>
                <c:pt idx="0">
                  <c:v>Total del régimen Servicios</c:v>
                </c:pt>
              </c:strCache>
            </c:strRef>
          </c:tx>
          <c:invertIfNegative val="0"/>
          <c:cat>
            <c:multiLvlStrRef>
              <c:f>'Tabla régimen-actividad JUN'!$A$9:$A$11</c:f>
              <c:multiLvlStrCache>
                <c:ptCount val="2"/>
                <c:lvl>
                  <c:pt idx="0">
                    <c:v>Autónomos</c:v>
                  </c:pt>
                  <c:pt idx="1">
                    <c:v>General</c:v>
                  </c:pt>
                </c:lvl>
                <c:lvl>
                  <c:pt idx="0">
                    <c:v>ADRICTE</c:v>
                  </c:pt>
                </c:lvl>
              </c:multiLvlStrCache>
            </c:multiLvlStrRef>
          </c:cat>
          <c:val>
            <c:numRef>
              <c:f>'Tabla régimen-actividad JUN'!$E$9:$E$11</c:f>
              <c:numCache>
                <c:formatCode>General</c:formatCode>
                <c:ptCount val="2"/>
                <c:pt idx="0">
                  <c:v>369</c:v>
                </c:pt>
                <c:pt idx="1">
                  <c:v>728</c:v>
                </c:pt>
              </c:numCache>
            </c:numRef>
          </c:val>
        </c:ser>
        <c:dLbls>
          <c:showLegendKey val="0"/>
          <c:showVal val="0"/>
          <c:showCatName val="0"/>
          <c:showSerName val="0"/>
          <c:showPercent val="0"/>
          <c:showBubbleSize val="0"/>
        </c:dLbls>
        <c:gapWidth val="150"/>
        <c:shape val="box"/>
        <c:axId val="104663552"/>
        <c:axId val="105274112"/>
        <c:axId val="0"/>
      </c:bar3DChart>
      <c:catAx>
        <c:axId val="104663552"/>
        <c:scaling>
          <c:orientation val="minMax"/>
        </c:scaling>
        <c:delete val="0"/>
        <c:axPos val="b"/>
        <c:majorTickMark val="out"/>
        <c:minorTickMark val="none"/>
        <c:tickLblPos val="nextTo"/>
        <c:crossAx val="105274112"/>
        <c:crosses val="autoZero"/>
        <c:auto val="1"/>
        <c:lblAlgn val="ctr"/>
        <c:lblOffset val="100"/>
        <c:noMultiLvlLbl val="0"/>
      </c:catAx>
      <c:valAx>
        <c:axId val="105274112"/>
        <c:scaling>
          <c:orientation val="minMax"/>
        </c:scaling>
        <c:delete val="0"/>
        <c:axPos val="l"/>
        <c:majorGridlines/>
        <c:numFmt formatCode="General" sourceLinked="1"/>
        <c:majorTickMark val="out"/>
        <c:minorTickMark val="none"/>
        <c:tickLblPos val="nextTo"/>
        <c:crossAx val="104663552"/>
        <c:crosses val="autoZero"/>
        <c:crossBetween val="between"/>
      </c:valAx>
    </c:plotArea>
    <c:legend>
      <c:legendPos val="b"/>
      <c:layout>
        <c:manualLayout>
          <c:xMode val="edge"/>
          <c:yMode val="edge"/>
          <c:x val="0.79415901519740106"/>
          <c:y val="0.18064266201418697"/>
          <c:w val="0.20276588568911402"/>
          <c:h val="0.66994042836482171"/>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400"/>
            </a:pPr>
            <a:r>
              <a:rPr lang="es-ES" sz="1400"/>
              <a:t>Altas por sexo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7.8793327735256866E-2"/>
          <c:y val="0.10331808707735061"/>
          <c:w val="0.89716821072628161"/>
          <c:h val="0.64783551412691065"/>
        </c:manualLayout>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ADRICTE</c:v>
                  </c:pt>
                </c:lvl>
              </c:multiLvlStrCache>
            </c:multiLvlStrRef>
          </c:cat>
          <c:val>
            <c:numRef>
              <c:f>'Gráfico altas régimen y sexo'!$C$9:$C$12</c:f>
              <c:numCache>
                <c:formatCode>General</c:formatCode>
                <c:ptCount val="2"/>
                <c:pt idx="0">
                  <c:v>1206</c:v>
                </c:pt>
                <c:pt idx="1">
                  <c:v>1732</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ADRICTE</c:v>
                  </c:pt>
                </c:lvl>
              </c:multiLvlStrCache>
            </c:multiLvlStrRef>
          </c:cat>
          <c:val>
            <c:numRef>
              <c:f>'Gráfico altas régimen y sexo'!$D$9:$D$12</c:f>
              <c:numCache>
                <c:formatCode>General</c:formatCode>
                <c:ptCount val="2"/>
                <c:pt idx="0">
                  <c:v>827</c:v>
                </c:pt>
                <c:pt idx="1">
                  <c:v>1123</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ADRICTE</c:v>
                  </c:pt>
                </c:lvl>
              </c:multiLvlStrCache>
            </c:multiLvlStrRef>
          </c:cat>
          <c:val>
            <c:numRef>
              <c:f>'Gráfico altas régimen y sexo'!$E$9:$E$12</c:f>
              <c:numCache>
                <c:formatCode>General</c:formatCode>
                <c:ptCount val="2"/>
                <c:pt idx="0">
                  <c:v>379</c:v>
                </c:pt>
                <c:pt idx="1">
                  <c:v>609</c:v>
                </c:pt>
              </c:numCache>
            </c:numRef>
          </c:val>
        </c:ser>
        <c:dLbls>
          <c:showLegendKey val="0"/>
          <c:showVal val="0"/>
          <c:showCatName val="0"/>
          <c:showSerName val="0"/>
          <c:showPercent val="0"/>
          <c:showBubbleSize val="0"/>
        </c:dLbls>
        <c:gapWidth val="150"/>
        <c:shape val="box"/>
        <c:axId val="105513984"/>
        <c:axId val="105464384"/>
        <c:axId val="0"/>
      </c:bar3DChart>
      <c:catAx>
        <c:axId val="105513984"/>
        <c:scaling>
          <c:orientation val="minMax"/>
        </c:scaling>
        <c:delete val="0"/>
        <c:axPos val="b"/>
        <c:majorTickMark val="out"/>
        <c:minorTickMark val="none"/>
        <c:tickLblPos val="nextTo"/>
        <c:crossAx val="105464384"/>
        <c:crosses val="autoZero"/>
        <c:auto val="1"/>
        <c:lblAlgn val="ctr"/>
        <c:lblOffset val="100"/>
        <c:noMultiLvlLbl val="0"/>
      </c:catAx>
      <c:valAx>
        <c:axId val="105464384"/>
        <c:scaling>
          <c:orientation val="minMax"/>
        </c:scaling>
        <c:delete val="0"/>
        <c:axPos val="l"/>
        <c:majorGridlines/>
        <c:numFmt formatCode="General" sourceLinked="1"/>
        <c:majorTickMark val="out"/>
        <c:minorTickMark val="none"/>
        <c:tickLblPos val="nextTo"/>
        <c:crossAx val="10551398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histórico INDIVIDUAL!Tabla dinámica1</c:name>
    <c:fmtId val="-1"/>
  </c:pivotSource>
  <c:chart>
    <c:title>
      <c:tx>
        <c:rich>
          <a:bodyPr/>
          <a:lstStyle/>
          <a:p>
            <a:pPr>
              <a:defRPr sz="1400"/>
            </a:pPr>
            <a:r>
              <a:rPr lang="en-US" sz="1400"/>
              <a:t>ADRICTE</a:t>
            </a:r>
          </a:p>
        </c:rich>
      </c:tx>
      <c:layout/>
      <c:overlay val="1"/>
    </c:title>
    <c:autoTitleDeleted val="0"/>
    <c:pivotFmts>
      <c:pivotFmt>
        <c:idx val="0"/>
      </c:pivotFmt>
      <c:pivotFmt>
        <c:idx val="1"/>
      </c:pivotFmt>
      <c:pivotFmt>
        <c:idx val="2"/>
      </c:pivotFmt>
    </c:pivotFmts>
    <c:plotArea>
      <c:layout>
        <c:manualLayout>
          <c:layoutTarget val="inner"/>
          <c:xMode val="edge"/>
          <c:yMode val="edge"/>
          <c:x val="9.6630232076253625E-2"/>
          <c:y val="0.13132905995053865"/>
          <c:w val="0.87752390326209229"/>
          <c:h val="0.64546817703743709"/>
        </c:manualLayout>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25782</c:v>
                </c:pt>
                <c:pt idx="1">
                  <c:v>26619</c:v>
                </c:pt>
                <c:pt idx="2">
                  <c:v>28601</c:v>
                </c:pt>
                <c:pt idx="3">
                  <c:v>31208</c:v>
                </c:pt>
                <c:pt idx="4">
                  <c:v>29624</c:v>
                </c:pt>
                <c:pt idx="5">
                  <c:v>29699</c:v>
                </c:pt>
                <c:pt idx="6">
                  <c:v>27240</c:v>
                </c:pt>
                <c:pt idx="7">
                  <c:v>20103</c:v>
                </c:pt>
                <c:pt idx="8">
                  <c:v>15964</c:v>
                </c:pt>
                <c:pt idx="9">
                  <c:v>13411</c:v>
                </c:pt>
                <c:pt idx="10">
                  <c:v>11347</c:v>
                </c:pt>
                <c:pt idx="11">
                  <c:v>11187</c:v>
                </c:pt>
                <c:pt idx="12">
                  <c:v>10994</c:v>
                </c:pt>
              </c:numCache>
            </c:numRef>
          </c:val>
          <c:smooth val="0"/>
        </c:ser>
        <c:dLbls>
          <c:showLegendKey val="0"/>
          <c:showVal val="0"/>
          <c:showCatName val="0"/>
          <c:showSerName val="0"/>
          <c:showPercent val="0"/>
          <c:showBubbleSize val="0"/>
        </c:dLbls>
        <c:marker val="1"/>
        <c:smooth val="0"/>
        <c:axId val="101481472"/>
        <c:axId val="81984256"/>
      </c:lineChart>
      <c:catAx>
        <c:axId val="101481472"/>
        <c:scaling>
          <c:orientation val="minMax"/>
        </c:scaling>
        <c:delete val="0"/>
        <c:axPos val="b"/>
        <c:majorTickMark val="out"/>
        <c:minorTickMark val="none"/>
        <c:tickLblPos val="nextTo"/>
        <c:crossAx val="81984256"/>
        <c:crosses val="autoZero"/>
        <c:auto val="1"/>
        <c:lblAlgn val="ctr"/>
        <c:lblOffset val="100"/>
        <c:noMultiLvlLbl val="0"/>
      </c:catAx>
      <c:valAx>
        <c:axId val="81984256"/>
        <c:scaling>
          <c:orientation val="minMax"/>
        </c:scaling>
        <c:delete val="0"/>
        <c:axPos val="l"/>
        <c:majorGridlines/>
        <c:numFmt formatCode="General" sourceLinked="1"/>
        <c:majorTickMark val="out"/>
        <c:minorTickMark val="none"/>
        <c:tickLblPos val="nextTo"/>
        <c:crossAx val="101481472"/>
        <c:crosses val="autoZero"/>
        <c:crossBetween val="between"/>
      </c:valAx>
    </c:plotArea>
    <c:plotVisOnly val="1"/>
    <c:dispBlanksAs val="zero"/>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sz="1400"/>
            </a:pPr>
            <a:r>
              <a:rPr lang="en-US" sz="1400"/>
              <a:t>Población</a:t>
            </a:r>
            <a:r>
              <a:rPr lang="en-US" sz="1400" baseline="0"/>
              <a:t> por municipios</a:t>
            </a:r>
            <a:endParaRPr lang="en-US" sz="1400"/>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
        <c:idx val="82"/>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1319</c:v>
                </c:pt>
                <c:pt idx="1">
                  <c:v>10448</c:v>
                </c:pt>
                <c:pt idx="2">
                  <c:v>3678</c:v>
                </c:pt>
                <c:pt idx="3">
                  <c:v>10460</c:v>
                </c:pt>
                <c:pt idx="4">
                  <c:v>0</c:v>
                </c:pt>
                <c:pt idx="5">
                  <c:v>0</c:v>
                </c:pt>
                <c:pt idx="6">
                  <c:v>20926</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sz="1400"/>
            </a:pPr>
            <a:r>
              <a:rPr lang="en-US" sz="1400"/>
              <a:t>Municipios según</a:t>
            </a:r>
            <a:r>
              <a:rPr lang="en-US" sz="1400" baseline="0"/>
              <a:t> población</a:t>
            </a:r>
            <a:endParaRPr lang="en-US" sz="1400"/>
          </a:p>
        </c:rich>
      </c:tx>
      <c:layout/>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'Gráfico sectores por tamaño'!$B$28</c:f>
              <c:strCache>
                <c:ptCount val="1"/>
                <c:pt idx="0">
                  <c:v>Total</c:v>
                </c:pt>
              </c:strCache>
            </c:strRef>
          </c:tx>
          <c:dLbls>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14</c:v>
                </c:pt>
                <c:pt idx="1">
                  <c:v>22</c:v>
                </c:pt>
                <c:pt idx="2">
                  <c:v>3</c:v>
                </c:pt>
                <c:pt idx="3">
                  <c:v>2</c:v>
                </c:pt>
                <c:pt idx="4">
                  <c:v>0</c:v>
                </c:pt>
                <c:pt idx="5">
                  <c:v>0</c:v>
                </c:pt>
                <c:pt idx="6">
                  <c:v>0</c:v>
                </c:pt>
              </c:numCache>
            </c:numRef>
          </c:val>
        </c:ser>
        <c:dLbls>
          <c:showLegendKey val="0"/>
          <c:showVal val="1"/>
          <c:showCatName val="0"/>
          <c:showSerName val="0"/>
          <c:showPercent val="0"/>
          <c:showBubbleSize val="0"/>
          <c:showLeaderLines val="1"/>
        </c:dLbls>
      </c:pie3DChart>
      <c:spPr>
        <a:solidFill>
          <a:schemeClr val="accent4">
            <a:lumMod val="20000"/>
            <a:lumOff val="80000"/>
          </a:schemeClr>
        </a:solidFill>
      </c:spPr>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sz="1400"/>
            </a:pPr>
            <a:r>
              <a:rPr lang="es-ES" sz="1400"/>
              <a:t>Histórico de nacimientos</a:t>
            </a:r>
            <a:r>
              <a:rPr lang="es-ES" sz="1400" baseline="0"/>
              <a:t> (ADRICTE)</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6.8005236998244456E-2"/>
          <c:y val="0.14327710464083471"/>
          <c:w val="0.91326168521697948"/>
          <c:h val="0.7126093195888682"/>
        </c:manualLayout>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ADRICTE</c:v>
                </c:pt>
              </c:strCache>
            </c:strRef>
          </c:cat>
          <c:val>
            <c:numRef>
              <c:f>'nacimientos grupo'!$B$7:$B$8</c:f>
              <c:numCache>
                <c:formatCode>General</c:formatCode>
                <c:ptCount val="1"/>
                <c:pt idx="0">
                  <c:v>59</c:v>
                </c:pt>
              </c:numCache>
            </c:numRef>
          </c:val>
        </c:ser>
        <c:ser>
          <c:idx val="1"/>
          <c:order val="1"/>
          <c:tx>
            <c:strRef>
              <c:f>'nacimientos grupo'!$C$5:$C$6</c:f>
              <c:strCache>
                <c:ptCount val="1"/>
                <c:pt idx="0">
                  <c:v>Año 2011</c:v>
                </c:pt>
              </c:strCache>
            </c:strRef>
          </c:tx>
          <c:invertIfNegative val="0"/>
          <c:cat>
            <c:strRef>
              <c:f>'nacimientos grupo'!$A$7:$A$8</c:f>
              <c:strCache>
                <c:ptCount val="1"/>
                <c:pt idx="0">
                  <c:v>ADRICTE</c:v>
                </c:pt>
              </c:strCache>
            </c:strRef>
          </c:cat>
          <c:val>
            <c:numRef>
              <c:f>'nacimientos grupo'!$C$7:$C$8</c:f>
              <c:numCache>
                <c:formatCode>General</c:formatCode>
                <c:ptCount val="1"/>
                <c:pt idx="0">
                  <c:v>75</c:v>
                </c:pt>
              </c:numCache>
            </c:numRef>
          </c:val>
        </c:ser>
        <c:ser>
          <c:idx val="2"/>
          <c:order val="2"/>
          <c:tx>
            <c:strRef>
              <c:f>'nacimientos grupo'!$D$5:$D$6</c:f>
              <c:strCache>
                <c:ptCount val="1"/>
                <c:pt idx="0">
                  <c:v>Año 2010</c:v>
                </c:pt>
              </c:strCache>
            </c:strRef>
          </c:tx>
          <c:invertIfNegative val="0"/>
          <c:cat>
            <c:strRef>
              <c:f>'nacimientos grupo'!$A$7:$A$8</c:f>
              <c:strCache>
                <c:ptCount val="1"/>
                <c:pt idx="0">
                  <c:v>ADRICTE</c:v>
                </c:pt>
              </c:strCache>
            </c:strRef>
          </c:cat>
          <c:val>
            <c:numRef>
              <c:f>'nacimientos grupo'!$D$7:$D$8</c:f>
              <c:numCache>
                <c:formatCode>General</c:formatCode>
                <c:ptCount val="1"/>
                <c:pt idx="0">
                  <c:v>54</c:v>
                </c:pt>
              </c:numCache>
            </c:numRef>
          </c:val>
        </c:ser>
        <c:ser>
          <c:idx val="3"/>
          <c:order val="3"/>
          <c:tx>
            <c:strRef>
              <c:f>'nacimientos grupo'!$E$5:$E$6</c:f>
              <c:strCache>
                <c:ptCount val="1"/>
                <c:pt idx="0">
                  <c:v>Año 2009</c:v>
                </c:pt>
              </c:strCache>
            </c:strRef>
          </c:tx>
          <c:invertIfNegative val="0"/>
          <c:cat>
            <c:strRef>
              <c:f>'nacimientos grupo'!$A$7:$A$8</c:f>
              <c:strCache>
                <c:ptCount val="1"/>
                <c:pt idx="0">
                  <c:v>ADRICTE</c:v>
                </c:pt>
              </c:strCache>
            </c:strRef>
          </c:cat>
          <c:val>
            <c:numRef>
              <c:f>'nacimientos grupo'!$E$7:$E$8</c:f>
              <c:numCache>
                <c:formatCode>General</c:formatCode>
                <c:ptCount val="1"/>
                <c:pt idx="0">
                  <c:v>65</c:v>
                </c:pt>
              </c:numCache>
            </c:numRef>
          </c:val>
        </c:ser>
        <c:ser>
          <c:idx val="4"/>
          <c:order val="4"/>
          <c:tx>
            <c:strRef>
              <c:f>'nacimientos grupo'!$F$5:$F$6</c:f>
              <c:strCache>
                <c:ptCount val="1"/>
                <c:pt idx="0">
                  <c:v>Año 2008</c:v>
                </c:pt>
              </c:strCache>
            </c:strRef>
          </c:tx>
          <c:invertIfNegative val="0"/>
          <c:cat>
            <c:strRef>
              <c:f>'nacimientos grupo'!$A$7:$A$8</c:f>
              <c:strCache>
                <c:ptCount val="1"/>
                <c:pt idx="0">
                  <c:v>ADRICTE</c:v>
                </c:pt>
              </c:strCache>
            </c:strRef>
          </c:cat>
          <c:val>
            <c:numRef>
              <c:f>'nacimientos grupo'!$F$7:$F$8</c:f>
              <c:numCache>
                <c:formatCode>General</c:formatCode>
                <c:ptCount val="1"/>
                <c:pt idx="0">
                  <c:v>63</c:v>
                </c:pt>
              </c:numCache>
            </c:numRef>
          </c:val>
        </c:ser>
        <c:ser>
          <c:idx val="5"/>
          <c:order val="5"/>
          <c:tx>
            <c:strRef>
              <c:f>'nacimientos grupo'!$G$5:$G$6</c:f>
              <c:strCache>
                <c:ptCount val="1"/>
                <c:pt idx="0">
                  <c:v>Año 2007</c:v>
                </c:pt>
              </c:strCache>
            </c:strRef>
          </c:tx>
          <c:invertIfNegative val="0"/>
          <c:cat>
            <c:strRef>
              <c:f>'nacimientos grupo'!$A$7:$A$8</c:f>
              <c:strCache>
                <c:ptCount val="1"/>
                <c:pt idx="0">
                  <c:v>ADRICTE</c:v>
                </c:pt>
              </c:strCache>
            </c:strRef>
          </c:cat>
          <c:val>
            <c:numRef>
              <c:f>'nacimientos grupo'!$G$7:$G$8</c:f>
              <c:numCache>
                <c:formatCode>General</c:formatCode>
                <c:ptCount val="1"/>
                <c:pt idx="0">
                  <c:v>73</c:v>
                </c:pt>
              </c:numCache>
            </c:numRef>
          </c:val>
        </c:ser>
        <c:dLbls>
          <c:showLegendKey val="0"/>
          <c:showVal val="0"/>
          <c:showCatName val="0"/>
          <c:showSerName val="0"/>
          <c:showPercent val="0"/>
          <c:showBubbleSize val="0"/>
        </c:dLbls>
        <c:gapWidth val="150"/>
        <c:shape val="cylinder"/>
        <c:axId val="104662528"/>
        <c:axId val="99781440"/>
        <c:axId val="0"/>
      </c:bar3DChart>
      <c:catAx>
        <c:axId val="104662528"/>
        <c:scaling>
          <c:orientation val="minMax"/>
        </c:scaling>
        <c:delete val="0"/>
        <c:axPos val="b"/>
        <c:majorTickMark val="out"/>
        <c:minorTickMark val="none"/>
        <c:tickLblPos val="nextTo"/>
        <c:crossAx val="99781440"/>
        <c:crosses val="autoZero"/>
        <c:auto val="1"/>
        <c:lblAlgn val="ctr"/>
        <c:lblOffset val="100"/>
        <c:noMultiLvlLbl val="0"/>
      </c:catAx>
      <c:valAx>
        <c:axId val="99781440"/>
        <c:scaling>
          <c:orientation val="minMax"/>
        </c:scaling>
        <c:delete val="0"/>
        <c:axPos val="l"/>
        <c:majorGridlines/>
        <c:numFmt formatCode="General" sourceLinked="1"/>
        <c:majorTickMark val="out"/>
        <c:minorTickMark val="none"/>
        <c:tickLblPos val="nextTo"/>
        <c:crossAx val="104662528"/>
        <c:crosses val="autoZero"/>
        <c:crossBetween val="between"/>
      </c:valAx>
      <c:spPr>
        <a:solidFill>
          <a:schemeClr val="accent4">
            <a:lumMod val="20000"/>
            <a:lumOff val="80000"/>
          </a:schemeClr>
        </a:solidFill>
      </c:spPr>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sz="1400"/>
            </a:pPr>
            <a:r>
              <a:rPr lang="es-ES" sz="1400"/>
              <a:t>Histórico</a:t>
            </a:r>
            <a:r>
              <a:rPr lang="es-ES" sz="1400" baseline="0"/>
              <a:t> de defunciones (ADRICTE)</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929037562684727E-2"/>
          <c:y val="0.15481592675480024"/>
          <c:w val="0.90134909123201701"/>
          <c:h val="0.70001450889355965"/>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ADRICTE</c:v>
                </c:pt>
              </c:strCache>
            </c:strRef>
          </c:cat>
          <c:val>
            <c:numRef>
              <c:f>'defunciones grupo'!$B$7:$B$8</c:f>
              <c:numCache>
                <c:formatCode>General</c:formatCode>
                <c:ptCount val="1"/>
                <c:pt idx="0">
                  <c:v>171</c:v>
                </c:pt>
              </c:numCache>
            </c:numRef>
          </c:val>
        </c:ser>
        <c:ser>
          <c:idx val="1"/>
          <c:order val="1"/>
          <c:tx>
            <c:strRef>
              <c:f>'defunciones grupo'!$C$5:$C$6</c:f>
              <c:strCache>
                <c:ptCount val="1"/>
                <c:pt idx="0">
                  <c:v>Año 2011</c:v>
                </c:pt>
              </c:strCache>
            </c:strRef>
          </c:tx>
          <c:invertIfNegative val="0"/>
          <c:cat>
            <c:strRef>
              <c:f>'defunciones grupo'!$A$7:$A$8</c:f>
              <c:strCache>
                <c:ptCount val="1"/>
                <c:pt idx="0">
                  <c:v>ADRICTE</c:v>
                </c:pt>
              </c:strCache>
            </c:strRef>
          </c:cat>
          <c:val>
            <c:numRef>
              <c:f>'defunciones grupo'!$C$7:$C$8</c:f>
              <c:numCache>
                <c:formatCode>General</c:formatCode>
                <c:ptCount val="1"/>
                <c:pt idx="0">
                  <c:v>161</c:v>
                </c:pt>
              </c:numCache>
            </c:numRef>
          </c:val>
        </c:ser>
        <c:ser>
          <c:idx val="2"/>
          <c:order val="2"/>
          <c:tx>
            <c:strRef>
              <c:f>'defunciones grupo'!$D$5:$D$6</c:f>
              <c:strCache>
                <c:ptCount val="1"/>
                <c:pt idx="0">
                  <c:v>Año 2010</c:v>
                </c:pt>
              </c:strCache>
            </c:strRef>
          </c:tx>
          <c:invertIfNegative val="0"/>
          <c:cat>
            <c:strRef>
              <c:f>'defunciones grupo'!$A$7:$A$8</c:f>
              <c:strCache>
                <c:ptCount val="1"/>
                <c:pt idx="0">
                  <c:v>ADRICTE</c:v>
                </c:pt>
              </c:strCache>
            </c:strRef>
          </c:cat>
          <c:val>
            <c:numRef>
              <c:f>'defunciones grupo'!$D$7:$D$8</c:f>
              <c:numCache>
                <c:formatCode>General</c:formatCode>
                <c:ptCount val="1"/>
                <c:pt idx="0">
                  <c:v>150</c:v>
                </c:pt>
              </c:numCache>
            </c:numRef>
          </c:val>
        </c:ser>
        <c:ser>
          <c:idx val="3"/>
          <c:order val="3"/>
          <c:tx>
            <c:strRef>
              <c:f>'defunciones grupo'!$E$5:$E$6</c:f>
              <c:strCache>
                <c:ptCount val="1"/>
                <c:pt idx="0">
                  <c:v>Año 2009</c:v>
                </c:pt>
              </c:strCache>
            </c:strRef>
          </c:tx>
          <c:invertIfNegative val="0"/>
          <c:cat>
            <c:strRef>
              <c:f>'defunciones grupo'!$A$7:$A$8</c:f>
              <c:strCache>
                <c:ptCount val="1"/>
                <c:pt idx="0">
                  <c:v>ADRICTE</c:v>
                </c:pt>
              </c:strCache>
            </c:strRef>
          </c:cat>
          <c:val>
            <c:numRef>
              <c:f>'defunciones grupo'!$E$7:$E$8</c:f>
              <c:numCache>
                <c:formatCode>General</c:formatCode>
                <c:ptCount val="1"/>
                <c:pt idx="0">
                  <c:v>191</c:v>
                </c:pt>
              </c:numCache>
            </c:numRef>
          </c:val>
        </c:ser>
        <c:ser>
          <c:idx val="4"/>
          <c:order val="4"/>
          <c:tx>
            <c:strRef>
              <c:f>'defunciones grupo'!$F$5:$F$6</c:f>
              <c:strCache>
                <c:ptCount val="1"/>
                <c:pt idx="0">
                  <c:v>Año 2008</c:v>
                </c:pt>
              </c:strCache>
            </c:strRef>
          </c:tx>
          <c:invertIfNegative val="0"/>
          <c:cat>
            <c:strRef>
              <c:f>'defunciones grupo'!$A$7:$A$8</c:f>
              <c:strCache>
                <c:ptCount val="1"/>
                <c:pt idx="0">
                  <c:v>ADRICTE</c:v>
                </c:pt>
              </c:strCache>
            </c:strRef>
          </c:cat>
          <c:val>
            <c:numRef>
              <c:f>'defunciones grupo'!$F$7:$F$8</c:f>
              <c:numCache>
                <c:formatCode>General</c:formatCode>
                <c:ptCount val="1"/>
                <c:pt idx="0">
                  <c:v>179</c:v>
                </c:pt>
              </c:numCache>
            </c:numRef>
          </c:val>
        </c:ser>
        <c:ser>
          <c:idx val="5"/>
          <c:order val="5"/>
          <c:tx>
            <c:strRef>
              <c:f>'defunciones grupo'!$G$5:$G$6</c:f>
              <c:strCache>
                <c:ptCount val="1"/>
                <c:pt idx="0">
                  <c:v>Año 2007</c:v>
                </c:pt>
              </c:strCache>
            </c:strRef>
          </c:tx>
          <c:invertIfNegative val="0"/>
          <c:cat>
            <c:strRef>
              <c:f>'defunciones grupo'!$A$7:$A$8</c:f>
              <c:strCache>
                <c:ptCount val="1"/>
                <c:pt idx="0">
                  <c:v>ADRICTE</c:v>
                </c:pt>
              </c:strCache>
            </c:strRef>
          </c:cat>
          <c:val>
            <c:numRef>
              <c:f>'defunciones grupo'!$G$7:$G$8</c:f>
              <c:numCache>
                <c:formatCode>General</c:formatCode>
                <c:ptCount val="1"/>
                <c:pt idx="0">
                  <c:v>174</c:v>
                </c:pt>
              </c:numCache>
            </c:numRef>
          </c:val>
        </c:ser>
        <c:ser>
          <c:idx val="6"/>
          <c:order val="6"/>
          <c:tx>
            <c:strRef>
              <c:f>'defunciones grupo'!$H$5:$H$6</c:f>
              <c:strCache>
                <c:ptCount val="1"/>
                <c:pt idx="0">
                  <c:v>Año 2006</c:v>
                </c:pt>
              </c:strCache>
            </c:strRef>
          </c:tx>
          <c:invertIfNegative val="0"/>
          <c:cat>
            <c:strRef>
              <c:f>'defunciones grupo'!$A$7:$A$8</c:f>
              <c:strCache>
                <c:ptCount val="1"/>
                <c:pt idx="0">
                  <c:v>ADRICTE</c:v>
                </c:pt>
              </c:strCache>
            </c:strRef>
          </c:cat>
          <c:val>
            <c:numRef>
              <c:f>'defunciones grupo'!$H$7:$H$8</c:f>
              <c:numCache>
                <c:formatCode>General</c:formatCode>
                <c:ptCount val="1"/>
                <c:pt idx="0">
                  <c:v>165</c:v>
                </c:pt>
              </c:numCache>
            </c:numRef>
          </c:val>
        </c:ser>
        <c:dLbls>
          <c:showLegendKey val="0"/>
          <c:showVal val="0"/>
          <c:showCatName val="0"/>
          <c:showSerName val="0"/>
          <c:showPercent val="0"/>
          <c:showBubbleSize val="0"/>
        </c:dLbls>
        <c:gapWidth val="150"/>
        <c:shape val="cylinder"/>
        <c:axId val="101478912"/>
        <c:axId val="99783168"/>
        <c:axId val="0"/>
      </c:bar3DChart>
      <c:catAx>
        <c:axId val="101478912"/>
        <c:scaling>
          <c:orientation val="minMax"/>
        </c:scaling>
        <c:delete val="0"/>
        <c:axPos val="b"/>
        <c:majorTickMark val="out"/>
        <c:minorTickMark val="none"/>
        <c:tickLblPos val="nextTo"/>
        <c:crossAx val="99783168"/>
        <c:crosses val="autoZero"/>
        <c:auto val="1"/>
        <c:lblAlgn val="ctr"/>
        <c:lblOffset val="100"/>
        <c:noMultiLvlLbl val="0"/>
      </c:catAx>
      <c:valAx>
        <c:axId val="99783168"/>
        <c:scaling>
          <c:orientation val="minMax"/>
        </c:scaling>
        <c:delete val="0"/>
        <c:axPos val="l"/>
        <c:majorGridlines/>
        <c:numFmt formatCode="General" sourceLinked="1"/>
        <c:majorTickMark val="out"/>
        <c:minorTickMark val="none"/>
        <c:tickLblPos val="nextTo"/>
        <c:crossAx val="10147891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400"/>
            </a:pPr>
            <a:r>
              <a:rPr lang="es-ES" sz="1400"/>
              <a:t>Saldo por</a:t>
            </a:r>
            <a:r>
              <a:rPr lang="es-ES" sz="1400" baseline="0"/>
              <a:t> variación residencia</a:t>
            </a:r>
            <a:endParaRPr lang="es-ES" sz="1400"/>
          </a:p>
        </c:rich>
      </c:tx>
      <c:layout>
        <c:manualLayout>
          <c:xMode val="edge"/>
          <c:yMode val="edge"/>
          <c:x val="0.25675985086080344"/>
          <c:y val="0"/>
        </c:manualLayout>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0.1034052615774723"/>
          <c:y val="0.17834733158355207"/>
          <c:w val="0.88070490791405309"/>
          <c:h val="0.6343333333333333"/>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ADRICTE</c:v>
                </c:pt>
              </c:strCache>
            </c:strRef>
          </c:cat>
          <c:val>
            <c:numRef>
              <c:f>'variación residencia grupo'!$B$7:$B$8</c:f>
              <c:numCache>
                <c:formatCode>General</c:formatCode>
                <c:ptCount val="1"/>
                <c:pt idx="0">
                  <c:v>-83</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ADRICTE</c:v>
                </c:pt>
              </c:strCache>
            </c:strRef>
          </c:cat>
          <c:val>
            <c:numRef>
              <c:f>'variación residencia grupo'!$C$7:$C$8</c:f>
              <c:numCache>
                <c:formatCode>General</c:formatCode>
                <c:ptCount val="1"/>
                <c:pt idx="0">
                  <c:v>-38</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ADRICTE</c:v>
                </c:pt>
              </c:strCache>
            </c:strRef>
          </c:cat>
          <c:val>
            <c:numRef>
              <c:f>'variación residencia grupo'!$D$7:$D$8</c:f>
              <c:numCache>
                <c:formatCode>General</c:formatCode>
                <c:ptCount val="1"/>
                <c:pt idx="0">
                  <c:v>-58</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ADRICTE</c:v>
                </c:pt>
              </c:strCache>
            </c:strRef>
          </c:cat>
          <c:val>
            <c:numRef>
              <c:f>'variación residencia grupo'!$E$7:$E$8</c:f>
              <c:numCache>
                <c:formatCode>General</c:formatCode>
                <c:ptCount val="1"/>
                <c:pt idx="0">
                  <c:v>-53</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ADRICTE</c:v>
                </c:pt>
              </c:strCache>
            </c:strRef>
          </c:cat>
          <c:val>
            <c:numRef>
              <c:f>'variación residencia grupo'!$F$7:$F$8</c:f>
              <c:numCache>
                <c:formatCode>General</c:formatCode>
                <c:ptCount val="1"/>
                <c:pt idx="0">
                  <c:v>-172</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ADRICTE</c:v>
                </c:pt>
              </c:strCache>
            </c:strRef>
          </c:cat>
          <c:val>
            <c:numRef>
              <c:f>'variación residencia grupo'!$G$7:$G$8</c:f>
              <c:numCache>
                <c:formatCode>General</c:formatCode>
                <c:ptCount val="1"/>
                <c:pt idx="0">
                  <c:v>160</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ADRICTE</c:v>
                </c:pt>
              </c:strCache>
            </c:strRef>
          </c:cat>
          <c:val>
            <c:numRef>
              <c:f>'variación residencia grupo'!$H$7:$H$8</c:f>
              <c:numCache>
                <c:formatCode>General</c:formatCode>
                <c:ptCount val="1"/>
                <c:pt idx="0">
                  <c:v>254</c:v>
                </c:pt>
              </c:numCache>
            </c:numRef>
          </c:val>
        </c:ser>
        <c:dLbls>
          <c:showLegendKey val="0"/>
          <c:showVal val="0"/>
          <c:showCatName val="0"/>
          <c:showSerName val="0"/>
          <c:showPercent val="0"/>
          <c:showBubbleSize val="0"/>
        </c:dLbls>
        <c:gapWidth val="150"/>
        <c:shape val="cylinder"/>
        <c:axId val="104664576"/>
        <c:axId val="99784896"/>
        <c:axId val="0"/>
      </c:bar3DChart>
      <c:catAx>
        <c:axId val="104664576"/>
        <c:scaling>
          <c:orientation val="minMax"/>
        </c:scaling>
        <c:delete val="0"/>
        <c:axPos val="b"/>
        <c:majorTickMark val="out"/>
        <c:minorTickMark val="none"/>
        <c:tickLblPos val="low"/>
        <c:crossAx val="99784896"/>
        <c:crosses val="autoZero"/>
        <c:auto val="1"/>
        <c:lblAlgn val="ctr"/>
        <c:lblOffset val="100"/>
        <c:noMultiLvlLbl val="0"/>
      </c:catAx>
      <c:valAx>
        <c:axId val="99784896"/>
        <c:scaling>
          <c:orientation val="minMax"/>
        </c:scaling>
        <c:delete val="0"/>
        <c:axPos val="l"/>
        <c:majorGridlines/>
        <c:numFmt formatCode="General" sourceLinked="1"/>
        <c:majorTickMark val="out"/>
        <c:minorTickMark val="none"/>
        <c:tickLblPos val="nextTo"/>
        <c:crossAx val="104664576"/>
        <c:crosses val="autoZero"/>
        <c:crossBetween val="between"/>
      </c:valAx>
    </c:plotArea>
    <c:legend>
      <c:legendPos val="b"/>
      <c:layout>
        <c:manualLayout>
          <c:xMode val="edge"/>
          <c:yMode val="edge"/>
          <c:x val="1.6209712398238353E-2"/>
          <c:y val="0.82407874015748028"/>
          <c:w val="0.97022888028826904"/>
          <c:h val="0.14258792650918636"/>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porcentajes 2012!Tabla dinámica6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6957882393878311E-2"/>
          <c:y val="3.2563475937780161E-2"/>
          <c:w val="0.61822897143819699"/>
          <c:h val="0.82332578764388353"/>
        </c:manualLayout>
      </c:layout>
      <c:bar3DChart>
        <c:barDir val="col"/>
        <c:grouping val="clustered"/>
        <c:varyColors val="0"/>
        <c:ser>
          <c:idx val="0"/>
          <c:order val="0"/>
          <c:tx>
            <c:strRef>
              <c:f>'Tabla porcentajes 2012'!$B$7:$B$8</c:f>
              <c:strCache>
                <c:ptCount val="1"/>
                <c:pt idx="0">
                  <c:v>Porcentaje Agricultura, ganadería, silvicultura y pesca</c:v>
                </c:pt>
              </c:strCache>
            </c:strRef>
          </c:tx>
          <c:invertIfNegative val="0"/>
          <c:cat>
            <c:strRef>
              <c:f>'Tabla porcentajes 2012'!$A$9:$A$10</c:f>
              <c:strCache>
                <c:ptCount val="1"/>
                <c:pt idx="0">
                  <c:v>ADRICTE</c:v>
                </c:pt>
              </c:strCache>
            </c:strRef>
          </c:cat>
          <c:val>
            <c:numRef>
              <c:f>'Tabla porcentajes 2012'!$B$9:$B$10</c:f>
              <c:numCache>
                <c:formatCode>0.0000%</c:formatCode>
                <c:ptCount val="1"/>
                <c:pt idx="0">
                  <c:v>1.4149729868793414E-2</c:v>
                </c:pt>
              </c:numCache>
            </c:numRef>
          </c:val>
        </c:ser>
        <c:ser>
          <c:idx val="1"/>
          <c:order val="1"/>
          <c:tx>
            <c:strRef>
              <c:f>'Tabla porcentajes 2012'!$C$7:$C$8</c:f>
              <c:strCache>
                <c:ptCount val="1"/>
                <c:pt idx="0">
                  <c:v>Porcentaje Industria</c:v>
                </c:pt>
              </c:strCache>
            </c:strRef>
          </c:tx>
          <c:invertIfNegative val="0"/>
          <c:cat>
            <c:strRef>
              <c:f>'Tabla porcentajes 2012'!$A$9:$A$10</c:f>
              <c:strCache>
                <c:ptCount val="1"/>
                <c:pt idx="0">
                  <c:v>ADRICTE</c:v>
                </c:pt>
              </c:strCache>
            </c:strRef>
          </c:cat>
          <c:val>
            <c:numRef>
              <c:f>'Tabla porcentajes 2012'!$C$9:$C$10</c:f>
              <c:numCache>
                <c:formatCode>0.0000%</c:formatCode>
                <c:ptCount val="1"/>
                <c:pt idx="0">
                  <c:v>8.9495996231747504E-3</c:v>
                </c:pt>
              </c:numCache>
            </c:numRef>
          </c:val>
        </c:ser>
        <c:ser>
          <c:idx val="2"/>
          <c:order val="2"/>
          <c:tx>
            <c:strRef>
              <c:f>'Tabla porcentajes 2012'!$D$7:$D$8</c:f>
              <c:strCache>
                <c:ptCount val="1"/>
                <c:pt idx="0">
                  <c:v>Porcentaje Energía y agua</c:v>
                </c:pt>
              </c:strCache>
            </c:strRef>
          </c:tx>
          <c:invertIfNegative val="0"/>
          <c:cat>
            <c:strRef>
              <c:f>'Tabla porcentajes 2012'!$A$9:$A$10</c:f>
              <c:strCache>
                <c:ptCount val="1"/>
                <c:pt idx="0">
                  <c:v>ADRICTE</c:v>
                </c:pt>
              </c:strCache>
            </c:strRef>
          </c:cat>
          <c:val>
            <c:numRef>
              <c:f>'Tabla porcentajes 2012'!$D$9:$D$10</c:f>
              <c:numCache>
                <c:formatCode>0.0000%</c:formatCode>
                <c:ptCount val="1"/>
                <c:pt idx="0">
                  <c:v>2.3519870235198703E-2</c:v>
                </c:pt>
              </c:numCache>
            </c:numRef>
          </c:val>
        </c:ser>
        <c:ser>
          <c:idx val="3"/>
          <c:order val="3"/>
          <c:tx>
            <c:strRef>
              <c:f>'Tabla porcentajes 2012'!$E$7:$E$8</c:f>
              <c:strCache>
                <c:ptCount val="1"/>
                <c:pt idx="0">
                  <c:v>Porcentaje Construcción</c:v>
                </c:pt>
              </c:strCache>
            </c:strRef>
          </c:tx>
          <c:invertIfNegative val="0"/>
          <c:cat>
            <c:strRef>
              <c:f>'Tabla porcentajes 2012'!$A$9:$A$10</c:f>
              <c:strCache>
                <c:ptCount val="1"/>
                <c:pt idx="0">
                  <c:v>ADRICTE</c:v>
                </c:pt>
              </c:strCache>
            </c:strRef>
          </c:cat>
          <c:val>
            <c:numRef>
              <c:f>'Tabla porcentajes 2012'!$E$9:$E$10</c:f>
              <c:numCache>
                <c:formatCode>0.0000%</c:formatCode>
                <c:ptCount val="1"/>
                <c:pt idx="0">
                  <c:v>9.7594679794446616E-3</c:v>
                </c:pt>
              </c:numCache>
            </c:numRef>
          </c:val>
        </c:ser>
        <c:ser>
          <c:idx val="4"/>
          <c:order val="4"/>
          <c:tx>
            <c:strRef>
              <c:f>'Tabla porcentajes 2012'!$F$7:$F$8</c:f>
              <c:strCache>
                <c:ptCount val="1"/>
                <c:pt idx="0">
                  <c:v>Porcentaje Servicios</c:v>
                </c:pt>
              </c:strCache>
            </c:strRef>
          </c:tx>
          <c:invertIfNegative val="0"/>
          <c:cat>
            <c:strRef>
              <c:f>'Tabla porcentajes 2012'!$A$9:$A$10</c:f>
              <c:strCache>
                <c:ptCount val="1"/>
                <c:pt idx="0">
                  <c:v>ADRICTE</c:v>
                </c:pt>
              </c:strCache>
            </c:strRef>
          </c:cat>
          <c:val>
            <c:numRef>
              <c:f>'Tabla porcentajes 2012'!$F$9:$F$10</c:f>
              <c:numCache>
                <c:formatCode>0.0000%</c:formatCode>
                <c:ptCount val="1"/>
                <c:pt idx="0">
                  <c:v>5.2402367986342175E-3</c:v>
                </c:pt>
              </c:numCache>
            </c:numRef>
          </c:val>
        </c:ser>
        <c:dLbls>
          <c:showLegendKey val="0"/>
          <c:showVal val="0"/>
          <c:showCatName val="0"/>
          <c:showSerName val="0"/>
          <c:showPercent val="0"/>
          <c:showBubbleSize val="0"/>
        </c:dLbls>
        <c:gapWidth val="150"/>
        <c:shape val="box"/>
        <c:axId val="105211392"/>
        <c:axId val="105267776"/>
        <c:axId val="0"/>
      </c:bar3DChart>
      <c:catAx>
        <c:axId val="105211392"/>
        <c:scaling>
          <c:orientation val="minMax"/>
        </c:scaling>
        <c:delete val="0"/>
        <c:axPos val="b"/>
        <c:majorTickMark val="out"/>
        <c:minorTickMark val="none"/>
        <c:tickLblPos val="nextTo"/>
        <c:crossAx val="105267776"/>
        <c:crosses val="autoZero"/>
        <c:auto val="1"/>
        <c:lblAlgn val="ctr"/>
        <c:lblOffset val="100"/>
        <c:noMultiLvlLbl val="0"/>
      </c:catAx>
      <c:valAx>
        <c:axId val="105267776"/>
        <c:scaling>
          <c:orientation val="minMax"/>
        </c:scaling>
        <c:delete val="0"/>
        <c:axPos val="l"/>
        <c:majorGridlines/>
        <c:numFmt formatCode="0.0000%" sourceLinked="1"/>
        <c:majorTickMark val="out"/>
        <c:minorTickMark val="none"/>
        <c:tickLblPos val="nextTo"/>
        <c:crossAx val="105211392"/>
        <c:crosses val="autoZero"/>
        <c:crossBetween val="between"/>
      </c:valAx>
    </c:plotArea>
    <c:legend>
      <c:legendPos val="b"/>
      <c:layout>
        <c:manualLayout>
          <c:xMode val="edge"/>
          <c:yMode val="edge"/>
          <c:x val="0.7196151056775798"/>
          <c:y val="3.4801562103124205E-2"/>
          <c:w val="0.27706170185200302"/>
          <c:h val="0.94759594888392007"/>
        </c:manualLayout>
      </c:layout>
      <c:overlay val="0"/>
      <c:spPr>
        <a:solidFill>
          <a:schemeClr val="accent4">
            <a:lumMod val="20000"/>
            <a:lumOff val="80000"/>
          </a:schemeClr>
        </a:solidFill>
      </c:spPr>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2812982818637033E-2"/>
          <c:y val="2.9117544413950616E-2"/>
          <c:w val="0.67202153254779329"/>
          <c:h val="0.78640932078612125"/>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ADRICTE</c:v>
                </c:pt>
              </c:strCache>
            </c:strRef>
          </c:cat>
          <c:val>
            <c:numRef>
              <c:f>'Tabla evolucion 2012-2011'!$B$9</c:f>
              <c:numCache>
                <c:formatCode>General</c:formatCode>
                <c:ptCount val="1"/>
                <c:pt idx="0">
                  <c:v>0</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ADRICTE</c:v>
                </c:pt>
              </c:strCache>
            </c:strRef>
          </c:cat>
          <c:val>
            <c:numRef>
              <c:f>'Tabla evolucion 2012-2011'!$C$9</c:f>
              <c:numCache>
                <c:formatCode>General</c:formatCode>
                <c:ptCount val="1"/>
                <c:pt idx="0">
                  <c:v>-6</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ADRICTE</c:v>
                </c:pt>
              </c:strCache>
            </c:strRef>
          </c:cat>
          <c:val>
            <c:numRef>
              <c:f>'Tabla evolucion 2012-2011'!$D$9</c:f>
              <c:numCache>
                <c:formatCode>General</c:formatCode>
                <c:ptCount val="1"/>
                <c:pt idx="0">
                  <c:v>7</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ADRICTE</c:v>
                </c:pt>
              </c:strCache>
            </c:strRef>
          </c:cat>
          <c:val>
            <c:numRef>
              <c:f>'Tabla evolucion 2012-2011'!$E$9</c:f>
              <c:numCache>
                <c:formatCode>General</c:formatCode>
                <c:ptCount val="1"/>
                <c:pt idx="0">
                  <c:v>-44</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ADRICTE</c:v>
                </c:pt>
              </c:strCache>
            </c:strRef>
          </c:cat>
          <c:val>
            <c:numRef>
              <c:f>'Tabla evolucion 2012-2011'!$F$9</c:f>
              <c:numCache>
                <c:formatCode>General</c:formatCode>
                <c:ptCount val="1"/>
                <c:pt idx="0">
                  <c:v>-63</c:v>
                </c:pt>
              </c:numCache>
            </c:numRef>
          </c:val>
        </c:ser>
        <c:dLbls>
          <c:showLegendKey val="0"/>
          <c:showVal val="0"/>
          <c:showCatName val="0"/>
          <c:showSerName val="0"/>
          <c:showPercent val="0"/>
          <c:showBubbleSize val="0"/>
        </c:dLbls>
        <c:gapWidth val="150"/>
        <c:shape val="box"/>
        <c:axId val="105212416"/>
        <c:axId val="105268928"/>
        <c:axId val="0"/>
      </c:bar3DChart>
      <c:catAx>
        <c:axId val="105212416"/>
        <c:scaling>
          <c:orientation val="minMax"/>
        </c:scaling>
        <c:delete val="0"/>
        <c:axPos val="b"/>
        <c:majorTickMark val="out"/>
        <c:minorTickMark val="none"/>
        <c:tickLblPos val="low"/>
        <c:crossAx val="105268928"/>
        <c:crosses val="autoZero"/>
        <c:auto val="1"/>
        <c:lblAlgn val="ctr"/>
        <c:lblOffset val="100"/>
        <c:noMultiLvlLbl val="0"/>
      </c:catAx>
      <c:valAx>
        <c:axId val="105268928"/>
        <c:scaling>
          <c:orientation val="minMax"/>
        </c:scaling>
        <c:delete val="0"/>
        <c:axPos val="l"/>
        <c:majorGridlines/>
        <c:numFmt formatCode="General" sourceLinked="1"/>
        <c:majorTickMark val="out"/>
        <c:minorTickMark val="none"/>
        <c:tickLblPos val="nextTo"/>
        <c:crossAx val="105212416"/>
        <c:crosses val="autoZero"/>
        <c:crossBetween val="between"/>
      </c:valAx>
    </c:plotArea>
    <c:legend>
      <c:legendPos val="b"/>
      <c:layout>
        <c:manualLayout>
          <c:xMode val="edge"/>
          <c:yMode val="edge"/>
          <c:x val="0.73557919621749424"/>
          <c:y val="4.2531042785662804E-2"/>
          <c:w val="0.22997380261677816"/>
          <c:h val="0.89135939068858006"/>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i="0" u="none"/>
            <a:t>2257,02km</a:t>
          </a:r>
          <a:r>
            <a:rPr lang="es-ES" b="1" i="0" u="none" baseline="30000"/>
            <a:t>2</a:t>
          </a:r>
          <a:endParaRPr lang="es-ES" b="1"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i="0" u="none"/>
            <a:t>4,87</a:t>
          </a:r>
          <a:endParaRPr lang="es-ES" b="1"/>
        </a:p>
      </dgm:t>
    </dgm:pt>
    <dgm:pt modelId="{44CB80DE-7E59-49AB-834D-195C1AEC6F98}" type="parTrans" cxnId="{A3CD7E36-CD76-4FD7-AEE5-5E600344D1DE}">
      <dgm:prSet/>
      <dgm:spPr/>
      <dgm:t>
        <a:bodyPr/>
        <a:lstStyle/>
        <a:p>
          <a:endParaRPr lang="es-ES"/>
        </a:p>
      </dgm:t>
    </dgm:pt>
    <dgm:pt modelId="{E6BF93AC-B433-416D-AA9F-D813E2E7E394}" type="sib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10443" custLinFactNeighborY="-5342"/>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A3CD7E36-CD76-4FD7-AEE5-5E600344D1DE}" srcId="{8A25AA0E-05A3-48A4-9066-D86732F11EE6}" destId="{F52A5D61-5B52-41D6-82AD-1AB126421323}" srcOrd="0" destOrd="0" parTransId="{44CB80DE-7E59-49AB-834D-195C1AEC6F98}" sibTransId="{E6BF93AC-B433-416D-AA9F-D813E2E7E394}"/>
    <dgm:cxn modelId="{B4D7B75F-EEBF-465C-98A1-5D3AB422E8F3}" srcId="{18A8730F-81C8-4E32-8AFC-F641D9564C32}" destId="{5A345620-AAE9-43AC-BFA5-7DCF838F6E6A}" srcOrd="0" destOrd="0" parTransId="{E6081994-E4C2-4952-BBDE-14351334798F}" sibTransId="{0DB3948C-1A0B-476A-81D8-3AAF2857D4B8}"/>
    <dgm:cxn modelId="{F23661FA-D4D5-4F66-9766-BE013364C55A}" srcId="{5A345620-AAE9-43AC-BFA5-7DCF838F6E6A}" destId="{DC8F0761-D699-4726-9FCA-759596682644}" srcOrd="0" destOrd="0" parTransId="{BCF338E4-6CE5-47FC-8844-97E4499475F5}" sibTransId="{3D522E44-48E3-4E26-A847-8B9E2C2F175D}"/>
    <dgm:cxn modelId="{310D3AAB-BC74-4656-9400-0ACE03522506}" type="presOf" srcId="{DC8F0761-D699-4726-9FCA-759596682644}" destId="{DACECD24-1E16-43E4-80BE-26CFAFDBDD5C}" srcOrd="1" destOrd="0" presId="urn:microsoft.com/office/officeart/2005/8/layout/hList9"/>
    <dgm:cxn modelId="{8427DA19-07C4-46AA-A170-3DDA270A0CF4}" type="presOf" srcId="{5A345620-AAE9-43AC-BFA5-7DCF838F6E6A}" destId="{BF6713A8-036E-43D7-9142-70FA401CC8E0}" srcOrd="0" destOrd="0" presId="urn:microsoft.com/office/officeart/2005/8/layout/hList9"/>
    <dgm:cxn modelId="{993116F1-5D4B-4FCF-9694-E12DFF730372}" type="presOf" srcId="{18A8730F-81C8-4E32-8AFC-F641D9564C32}" destId="{E62352AE-7A92-409B-A693-FF5F5F371E72}" srcOrd="0" destOrd="0" presId="urn:microsoft.com/office/officeart/2005/8/layout/hList9"/>
    <dgm:cxn modelId="{49225D17-3F88-416E-8B7E-A0E5A256D749}" type="presOf" srcId="{F52A5D61-5B52-41D6-82AD-1AB126421323}" destId="{53641B60-3D2A-48DF-8978-B44702B50950}" srcOrd="0" destOrd="0" presId="urn:microsoft.com/office/officeart/2005/8/layout/hList9"/>
    <dgm:cxn modelId="{EA870C93-2570-45F3-916F-CDD3AFD80254}" srcId="{18A8730F-81C8-4E32-8AFC-F641D9564C32}" destId="{8A25AA0E-05A3-48A4-9066-D86732F11EE6}" srcOrd="1" destOrd="0" parTransId="{2FE431C9-9F72-4EB8-9D87-44F37525555A}" sibTransId="{5232FD1E-CF5B-454C-B2DE-787AB9121A2B}"/>
    <dgm:cxn modelId="{3C469770-B8B1-4F47-A5BC-AEA2E25D4861}" type="presOf" srcId="{DC8F0761-D699-4726-9FCA-759596682644}" destId="{7E56BCF3-9CB5-4F8B-BE2F-0C63200680D4}" srcOrd="0" destOrd="0" presId="urn:microsoft.com/office/officeart/2005/8/layout/hList9"/>
    <dgm:cxn modelId="{B1C5AB6C-32E2-41A5-A372-1D1891CDA6B1}" type="presOf" srcId="{8A25AA0E-05A3-48A4-9066-D86732F11EE6}" destId="{575C1222-BBA2-426D-9CA7-C61006236803}" srcOrd="0" destOrd="0" presId="urn:microsoft.com/office/officeart/2005/8/layout/hList9"/>
    <dgm:cxn modelId="{F6E2BCEB-A2B3-4849-AB61-96DC52F29334}" type="presOf" srcId="{F52A5D61-5B52-41D6-82AD-1AB126421323}" destId="{A37BC357-048C-4C8A-9C7C-39AAB06E79AE}" srcOrd="1" destOrd="0" presId="urn:microsoft.com/office/officeart/2005/8/layout/hList9"/>
    <dgm:cxn modelId="{7C7472DB-FBF8-4AE4-9530-ED3F22579D2D}" type="presParOf" srcId="{E62352AE-7A92-409B-A693-FF5F5F371E72}" destId="{601C966D-3AF6-4118-B620-1E3EFBE740C9}" srcOrd="0" destOrd="0" presId="urn:microsoft.com/office/officeart/2005/8/layout/hList9"/>
    <dgm:cxn modelId="{905156B9-DD6C-4E7A-9D73-501D9B8E0D16}" type="presParOf" srcId="{E62352AE-7A92-409B-A693-FF5F5F371E72}" destId="{F36D099F-EEB4-4F98-872E-B1D06C65E133}" srcOrd="1" destOrd="0" presId="urn:microsoft.com/office/officeart/2005/8/layout/hList9"/>
    <dgm:cxn modelId="{CBF3BCE3-0F3F-4BF7-BB19-93EC57F5785B}" type="presParOf" srcId="{F36D099F-EEB4-4F98-872E-B1D06C65E133}" destId="{DB5C4403-791E-4B02-859B-EC3F5B33D810}" srcOrd="0" destOrd="0" presId="urn:microsoft.com/office/officeart/2005/8/layout/hList9"/>
    <dgm:cxn modelId="{BD6E3694-45A5-46A7-9123-40DA1DF5A535}" type="presParOf" srcId="{F36D099F-EEB4-4F98-872E-B1D06C65E133}" destId="{8F52367C-0189-4D38-8029-7D76FCD93C77}" srcOrd="1" destOrd="0" presId="urn:microsoft.com/office/officeart/2005/8/layout/hList9"/>
    <dgm:cxn modelId="{3B7EDF77-58F2-4F35-BC2F-891FE41FAAD4}" type="presParOf" srcId="{8F52367C-0189-4D38-8029-7D76FCD93C77}" destId="{7E56BCF3-9CB5-4F8B-BE2F-0C63200680D4}" srcOrd="0" destOrd="0" presId="urn:microsoft.com/office/officeart/2005/8/layout/hList9"/>
    <dgm:cxn modelId="{328EB6A8-320A-4499-8E3D-7D87B97ABC53}" type="presParOf" srcId="{8F52367C-0189-4D38-8029-7D76FCD93C77}" destId="{DACECD24-1E16-43E4-80BE-26CFAFDBDD5C}" srcOrd="1" destOrd="0" presId="urn:microsoft.com/office/officeart/2005/8/layout/hList9"/>
    <dgm:cxn modelId="{04740109-5363-4C87-B23A-AF16F6C0113C}" type="presParOf" srcId="{E62352AE-7A92-409B-A693-FF5F5F371E72}" destId="{5246FFAB-65CC-4258-8CBF-5E13D423474C}" srcOrd="2" destOrd="0" presId="urn:microsoft.com/office/officeart/2005/8/layout/hList9"/>
    <dgm:cxn modelId="{8A5FC286-A67F-4C0A-BDD7-0AA4D3BA3EAA}" type="presParOf" srcId="{E62352AE-7A92-409B-A693-FF5F5F371E72}" destId="{BF6713A8-036E-43D7-9142-70FA401CC8E0}" srcOrd="3" destOrd="0" presId="urn:microsoft.com/office/officeart/2005/8/layout/hList9"/>
    <dgm:cxn modelId="{1E645A35-B474-4AFC-AFBC-6852FE26E59B}" type="presParOf" srcId="{E62352AE-7A92-409B-A693-FF5F5F371E72}" destId="{FB6E445D-BFE8-4AE0-9399-C0EECE766FC0}" srcOrd="4" destOrd="0" presId="urn:microsoft.com/office/officeart/2005/8/layout/hList9"/>
    <dgm:cxn modelId="{FE3FFBCB-5031-47E3-8F68-C5B579F6F9A7}" type="presParOf" srcId="{E62352AE-7A92-409B-A693-FF5F5F371E72}" destId="{99EAC4E4-9F15-4285-B02D-55B2D929CDCE}" srcOrd="5" destOrd="0" presId="urn:microsoft.com/office/officeart/2005/8/layout/hList9"/>
    <dgm:cxn modelId="{9B6B4494-B9CE-4229-A539-C2E7A311090E}" type="presParOf" srcId="{E62352AE-7A92-409B-A693-FF5F5F371E72}" destId="{C29BD979-117A-4098-82FD-CF9E1B668D9D}" srcOrd="6" destOrd="0" presId="urn:microsoft.com/office/officeart/2005/8/layout/hList9"/>
    <dgm:cxn modelId="{CAFAA2AF-FC05-4025-9811-9004CA6E29F4}" type="presParOf" srcId="{C29BD979-117A-4098-82FD-CF9E1B668D9D}" destId="{A6CEB835-8B0C-4E1D-9DF6-36136D68911F}" srcOrd="0" destOrd="0" presId="urn:microsoft.com/office/officeart/2005/8/layout/hList9"/>
    <dgm:cxn modelId="{A5306A7E-2679-456F-9598-002662CCCBBA}" type="presParOf" srcId="{C29BD979-117A-4098-82FD-CF9E1B668D9D}" destId="{43FC3AB4-C3DD-4D28-BDA2-12470C5C44D6}" srcOrd="1" destOrd="0" presId="urn:microsoft.com/office/officeart/2005/8/layout/hList9"/>
    <dgm:cxn modelId="{8514AAA6-E4DF-4B5A-B3BC-D18B18C2FE8A}" type="presParOf" srcId="{43FC3AB4-C3DD-4D28-BDA2-12470C5C44D6}" destId="{53641B60-3D2A-48DF-8978-B44702B50950}" srcOrd="0" destOrd="0" presId="urn:microsoft.com/office/officeart/2005/8/layout/hList9"/>
    <dgm:cxn modelId="{AA2D9967-F99F-437D-A431-B77CBFEE9577}" type="presParOf" srcId="{43FC3AB4-C3DD-4D28-BDA2-12470C5C44D6}" destId="{A37BC357-048C-4C8A-9C7C-39AAB06E79AE}" srcOrd="1" destOrd="0" presId="urn:microsoft.com/office/officeart/2005/8/layout/hList9"/>
    <dgm:cxn modelId="{E446C4A1-1E56-40A0-806C-9BD150830854}" type="presParOf" srcId="{E62352AE-7A92-409B-A693-FF5F5F371E72}" destId="{8196E043-9A47-465E-9AB6-9778260CB821}" srcOrd="7" destOrd="0" presId="urn:microsoft.com/office/officeart/2005/8/layout/hList9"/>
    <dgm:cxn modelId="{01FB8132-0B3E-4B8F-A721-5F311A4DD70D}"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46120" y="438409"/>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i="0" u="none" kern="1200"/>
            <a:t>2257,02km</a:t>
          </a:r>
          <a:r>
            <a:rPr lang="es-ES" sz="1500" b="1" i="0" u="none" kern="1200" baseline="30000"/>
            <a:t>2</a:t>
          </a:r>
          <a:endParaRPr lang="es-ES" sz="1500" b="1" kern="1200" baseline="30000"/>
        </a:p>
      </dsp:txBody>
      <dsp:txXfrm>
        <a:off x="1307913" y="438409"/>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i="0" u="none" kern="1200"/>
            <a:t>4,87</a:t>
          </a:r>
          <a:endParaRPr lang="es-ES" sz="1500" b="1" kern="1200"/>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A0B02C-1EC0-4FBE-B1BE-6609669D8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24</Pages>
  <Words>1805</Words>
  <Characters>9930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Caracterización territorial de Calatayud-Aranda. Asociación para el Desarrollo Rural Integral de la Comunidad de Calatayud y Comarca del Aranda (ADRI Calatayud-Aranda)</vt:lpstr>
    </vt:vector>
  </TitlesOfParts>
  <Company/>
  <LinksUpToDate>false</LinksUpToDate>
  <CharactersWithSpaces>11712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 Comarca de Teruel. Asociación para el Desarrollo Rural e Integral de la Comarca de Teruel (Adricte)</dc:title>
  <dc:subject/>
  <dc:creator>miriam escorza torrijos</dc:creator>
  <cp:keywords/>
  <dc:description/>
  <cp:lastModifiedBy>miriam escorza torrijos</cp:lastModifiedBy>
  <cp:revision>131</cp:revision>
  <dcterms:created xsi:type="dcterms:W3CDTF">2014-12-16T11:01:00Z</dcterms:created>
  <dcterms:modified xsi:type="dcterms:W3CDTF">2015-02-19T09:33:00Z</dcterms:modified>
</cp:coreProperties>
</file>