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1547837815"/>
        <w:docPartObj>
          <w:docPartGallery w:val="Cover Pages"/>
          <w:docPartUnique/>
        </w:docPartObj>
      </w:sdtPr>
      <w:sdtEndPr>
        <w:rPr>
          <w:color w:val="auto"/>
          <w:sz w:val="22"/>
          <w:szCs w:val="22"/>
        </w:rPr>
      </w:sdtEndPr>
      <w:sdtContent>
        <w:p w:rsidR="005047FE" w:rsidRPr="005047FE" w:rsidRDefault="005047FE" w:rsidP="00DA6CCE">
          <w:pPr>
            <w:jc w:val="both"/>
            <w:rPr>
              <w:color w:val="000000" w:themeColor="text1"/>
              <w:sz w:val="28"/>
              <w:szCs w:val="28"/>
            </w:rPr>
          </w:pPr>
          <w:r w:rsidRPr="005047FE">
            <w:rPr>
              <w:noProof/>
              <w:color w:val="EEECE1" w:themeColor="background2"/>
              <w:sz w:val="28"/>
              <w:szCs w:val="28"/>
              <w:lang w:eastAsia="es-ES"/>
            </w:rPr>
            <mc:AlternateContent>
              <mc:Choice Requires="wpg">
                <w:drawing>
                  <wp:anchor distT="0" distB="0" distL="114300" distR="114300" simplePos="0" relativeHeight="251659264" behindDoc="1" locked="0" layoutInCell="0" allowOverlap="1" wp14:anchorId="516C8459" wp14:editId="4B1E1C3A">
                    <wp:simplePos x="0" y="0"/>
                    <wp:positionH relativeFrom="page">
                      <wp:align>center</wp:align>
                    </wp:positionH>
                    <wp:positionV relativeFrom="page">
                      <wp:align>center</wp:align>
                    </wp:positionV>
                    <wp:extent cx="7772400" cy="10058400"/>
                    <wp:effectExtent l="0" t="0" r="254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FA17CC">
            <w:rPr>
              <w:color w:val="000000" w:themeColor="text1"/>
              <w:sz w:val="28"/>
              <w:szCs w:val="28"/>
            </w:rPr>
            <w:t>Febrero 2015</w:t>
          </w:r>
        </w:p>
        <w:p w:rsidR="005047FE" w:rsidRPr="0049474D" w:rsidRDefault="005047FE" w:rsidP="00DA6CCE">
          <w:pPr>
            <w:jc w:val="both"/>
            <w:rPr>
              <w:b/>
              <w:color w:val="FFFFFF" w:themeColor="background1"/>
              <w:sz w:val="44"/>
              <w:szCs w:val="32"/>
            </w:rPr>
          </w:pPr>
          <w:r>
            <w:rPr>
              <w:b/>
              <w:noProof/>
              <w:color w:val="000000" w:themeColor="text1"/>
              <w:sz w:val="32"/>
              <w:szCs w:val="32"/>
              <w:lang w:eastAsia="es-ES"/>
            </w:rPr>
            <mc:AlternateContent>
              <mc:Choice Requires="wps">
                <w:drawing>
                  <wp:anchor distT="0" distB="0" distL="114300" distR="114300" simplePos="0" relativeHeight="251660288" behindDoc="1" locked="0" layoutInCell="1" allowOverlap="1" wp14:anchorId="5D2DCB5D" wp14:editId="40DF9703">
                    <wp:simplePos x="0" y="0"/>
                    <wp:positionH relativeFrom="column">
                      <wp:posOffset>-701738</wp:posOffset>
                    </wp:positionH>
                    <wp:positionV relativeFrom="paragraph">
                      <wp:posOffset>91440</wp:posOffset>
                    </wp:positionV>
                    <wp:extent cx="6804279" cy="1494263"/>
                    <wp:effectExtent l="0" t="0" r="0" b="0"/>
                    <wp:wrapNone/>
                    <wp:docPr id="2" name="2 Rectángulo"/>
                    <wp:cNvGraphicFramePr/>
                    <a:graphic xmlns:a="http://schemas.openxmlformats.org/drawingml/2006/main">
                      <a:graphicData uri="http://schemas.microsoft.com/office/word/2010/wordprocessingShape">
                        <wps:wsp>
                          <wps:cNvSpPr/>
                          <wps:spPr>
                            <a:xfrm>
                              <a:off x="0" y="0"/>
                              <a:ext cx="6804279" cy="1494263"/>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9474D" w:rsidRDefault="0049474D" w:rsidP="004947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 Rectángulo" o:spid="_x0000_s1026" style="position:absolute;left:0;text-align:left;margin-left:-55.25pt;margin-top:7.2pt;width:535.75pt;height:117.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" fillcolor="#5f497a [2407]" stroked="f" strokeweight="2pt">
                    <v:textbox>
                      <w:txbxContent>
                        <w:p w:rsidR="0049474D" w:rsidRDefault="0049474D" w:rsidP="0049474D">
                          <w:pPr>
                            <w:jc w:val="center"/>
                          </w:pPr>
                        </w:p>
                      </w:txbxContent>
                    </v:textbox>
                  </v:rect>
                </w:pict>
              </mc:Fallback>
            </mc:AlternateContent>
          </w:r>
        </w:p>
        <w:sdt>
          <w:sdtPr>
            <w:rPr>
              <w:b/>
              <w:color w:val="FFFFFF" w:themeColor="background1"/>
              <w:sz w:val="32"/>
            </w:rPr>
            <w:alias w:val="Título"/>
            <w:id w:val="-2043285968"/>
            <w:dataBinding w:prefixMappings="xmlns:ns0='http://schemas.openxmlformats.org/package/2006/metadata/core-properties' xmlns:ns1='http://purl.org/dc/elements/1.1/'" w:xpath="/ns0:coreProperties[1]/ns1:title[1]" w:storeItemID="{6C3C8BC8-F283-45AE-878A-BAB7291924A1}"/>
            <w:text/>
          </w:sdtPr>
          <w:sdtEndPr/>
          <w:sdtContent>
            <w:p w:rsidR="005047FE" w:rsidRPr="0049474D" w:rsidRDefault="0049474D" w:rsidP="00F36D27">
              <w:pPr>
                <w:jc w:val="center"/>
                <w:rPr>
                  <w:b/>
                  <w:color w:val="FFFFFF" w:themeColor="background1"/>
                  <w:sz w:val="44"/>
                  <w:szCs w:val="32"/>
                </w:rPr>
              </w:pPr>
              <w:r w:rsidRPr="0049474D">
                <w:rPr>
                  <w:b/>
                  <w:color w:val="FFFFFF" w:themeColor="background1"/>
                  <w:sz w:val="32"/>
                </w:rPr>
                <w:t>Caracterización territorial de Bajo Aragón-Matarraña</w:t>
              </w:r>
            </w:p>
          </w:sdtContent>
        </w:sdt>
        <w:p w:rsidR="005047FE" w:rsidRDefault="005047FE" w:rsidP="00DA6CCE">
          <w:pPr>
            <w:jc w:val="both"/>
            <w:rPr>
              <w:b/>
              <w:color w:val="000000" w:themeColor="text1"/>
              <w:sz w:val="32"/>
              <w:szCs w:val="32"/>
            </w:rPr>
          </w:pPr>
        </w:p>
        <w:p w:rsidR="005047FE" w:rsidRPr="005047FE" w:rsidRDefault="008F1315" w:rsidP="008F1315">
          <w:pPr>
            <w:tabs>
              <w:tab w:val="left" w:pos="1984"/>
            </w:tabs>
            <w:jc w:val="both"/>
            <w:rPr>
              <w:b/>
              <w:color w:val="000000" w:themeColor="text1"/>
              <w:sz w:val="32"/>
              <w:szCs w:val="32"/>
            </w:rPr>
          </w:pPr>
          <w:r>
            <w:rPr>
              <w:b/>
              <w:color w:val="000000" w:themeColor="text1"/>
              <w:sz w:val="32"/>
              <w:szCs w:val="32"/>
            </w:rPr>
            <w:tab/>
          </w:r>
        </w:p>
        <w:p w:rsidR="005047FE" w:rsidRDefault="0049474D" w:rsidP="0049474D">
          <w:pPr>
            <w:tabs>
              <w:tab w:val="left" w:pos="3020"/>
              <w:tab w:val="left" w:pos="3660"/>
            </w:tabs>
            <w:jc w:val="both"/>
            <w:rPr>
              <w:noProof/>
              <w:lang w:eastAsia="es-ES"/>
            </w:rPr>
          </w:pPr>
          <w:r>
            <w:rPr>
              <w:noProof/>
              <w:lang w:eastAsia="es-ES"/>
            </w:rPr>
            <w:tab/>
          </w:r>
          <w:r>
            <w:rPr>
              <w:noProof/>
              <w:lang w:eastAsia="es-ES"/>
            </w:rPr>
            <w:tab/>
          </w:r>
        </w:p>
        <w:p w:rsidR="0049474D" w:rsidRDefault="0049474D" w:rsidP="0049474D">
          <w:pPr>
            <w:tabs>
              <w:tab w:val="left" w:pos="3020"/>
              <w:tab w:val="left" w:pos="3660"/>
            </w:tabs>
            <w:jc w:val="both"/>
            <w:rPr>
              <w:noProof/>
              <w:lang w:eastAsia="es-ES"/>
            </w:rPr>
          </w:pPr>
        </w:p>
        <w:p w:rsidR="005B7974" w:rsidRDefault="0049474D" w:rsidP="0049474D">
          <w:pPr>
            <w:tabs>
              <w:tab w:val="left" w:pos="2460"/>
            </w:tabs>
            <w:jc w:val="both"/>
            <w:rPr>
              <w:noProof/>
              <w:lang w:eastAsia="es-ES"/>
            </w:rPr>
          </w:pPr>
          <w:r>
            <w:rPr>
              <w:noProof/>
              <w:lang w:eastAsia="es-ES"/>
            </w:rPr>
            <w:tab/>
          </w:r>
          <w:r>
            <w:rPr>
              <w:noProof/>
              <w:lang w:eastAsia="es-ES"/>
            </w:rPr>
            <w:drawing>
              <wp:inline distT="0" distB="0" distL="0" distR="0">
                <wp:extent cx="5105400" cy="4038600"/>
                <wp:effectExtent l="0" t="0" r="0" b="0"/>
                <wp:docPr id="8" name="Imagen 8" descr="http://aragonrural.org/wp-content/uploads/2010/07/mapa-bajo-arag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ragonrural.org/wp-content/uploads/2010/07/mapa-bajo-aragon.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00" cy="4038600"/>
                        </a:xfrm>
                        <a:prstGeom prst="rect">
                          <a:avLst/>
                        </a:prstGeom>
                        <a:noFill/>
                        <a:ln>
                          <a:noFill/>
                        </a:ln>
                      </pic:spPr>
                    </pic:pic>
                  </a:graphicData>
                </a:graphic>
              </wp:inline>
            </w:drawing>
          </w:r>
        </w:p>
        <w:p w:rsidR="005B7974" w:rsidRDefault="005B7974" w:rsidP="00DA6CCE">
          <w:pPr>
            <w:jc w:val="both"/>
            <w:rPr>
              <w:noProof/>
              <w:lang w:eastAsia="es-ES"/>
            </w:rPr>
          </w:pPr>
        </w:p>
        <w:p w:rsidR="005B7974" w:rsidRDefault="005B7974" w:rsidP="00DA6CCE">
          <w:pPr>
            <w:jc w:val="both"/>
            <w:rPr>
              <w:noProof/>
              <w:lang w:eastAsia="es-ES"/>
            </w:rPr>
          </w:pPr>
        </w:p>
        <w:p w:rsidR="005B7974" w:rsidRDefault="005B7974" w:rsidP="00DA6CCE">
          <w:pPr>
            <w:jc w:val="both"/>
            <w:rPr>
              <w:noProof/>
              <w:lang w:eastAsia="es-ES"/>
            </w:rPr>
          </w:pPr>
        </w:p>
        <w:p w:rsidR="005B7974" w:rsidRDefault="005B7974" w:rsidP="00DA6CCE">
          <w:pPr>
            <w:jc w:val="both"/>
            <w:rPr>
              <w:noProof/>
              <w:lang w:eastAsia="es-ES"/>
            </w:rPr>
          </w:pPr>
        </w:p>
        <w:p w:rsidR="005B7974" w:rsidRDefault="005B7974" w:rsidP="00DA6CCE">
          <w:pPr>
            <w:jc w:val="both"/>
            <w:rPr>
              <w:noProof/>
              <w:lang w:eastAsia="es-ES"/>
            </w:rPr>
          </w:pPr>
        </w:p>
        <w:tbl>
          <w:tblPr>
            <w:tblpPr w:leftFromText="187" w:rightFromText="187" w:vertAnchor="page" w:horzAnchor="margin" w:tblpXSpec="right" w:tblpY="14781"/>
            <w:tblOverlap w:val="never"/>
            <w:tblW w:w="0" w:type="auto"/>
            <w:tblLook w:val="04A0" w:firstRow="1" w:lastRow="0" w:firstColumn="1" w:lastColumn="0" w:noHBand="0" w:noVBand="1"/>
          </w:tblPr>
          <w:tblGrid>
            <w:gridCol w:w="8720"/>
          </w:tblGrid>
          <w:tr w:rsidR="0049474D" w:rsidTr="0049474D">
            <w:trPr>
              <w:trHeight w:val="360"/>
            </w:trPr>
            <w:tc>
              <w:tcPr>
                <w:tcW w:w="8720" w:type="dxa"/>
              </w:tcPr>
              <w:p w:rsidR="0049474D" w:rsidRPr="005047FE" w:rsidRDefault="0049474D" w:rsidP="0049474D">
                <w:pPr>
                  <w:pStyle w:val="Sinespaciado"/>
                  <w:jc w:val="both"/>
                  <w:rPr>
                    <w:b/>
                    <w:color w:val="000000" w:themeColor="text1"/>
                    <w:sz w:val="32"/>
                    <w:szCs w:val="32"/>
                  </w:rPr>
                </w:pPr>
                <w:r w:rsidRPr="005047FE">
                  <w:rPr>
                    <w:b/>
                    <w:color w:val="000000" w:themeColor="text1"/>
                    <w:sz w:val="32"/>
                    <w:szCs w:val="32"/>
                  </w:rPr>
                  <w:t>RADR</w:t>
                </w:r>
              </w:p>
            </w:tc>
          </w:tr>
        </w:tbl>
        <w:p w:rsidR="00974B32" w:rsidRDefault="00974B32" w:rsidP="00DA6CCE">
          <w:pPr>
            <w:jc w:val="both"/>
            <w:rPr>
              <w:noProof/>
              <w:lang w:eastAsia="es-ES"/>
            </w:rPr>
          </w:pPr>
        </w:p>
        <w:p w:rsidR="00425194" w:rsidRDefault="008F1315" w:rsidP="00DA6CCE">
          <w:pPr>
            <w:jc w:val="both"/>
            <w:rPr>
              <w:noProof/>
              <w:lang w:eastAsia="es-ES"/>
            </w:rPr>
          </w:pPr>
          <w:r>
            <w:rPr>
              <w:noProof/>
              <w:lang w:eastAsia="es-ES"/>
            </w:rPr>
            <w:lastRenderedPageBreak/>
            <mc:AlternateContent>
              <mc:Choice Requires="wps">
                <w:drawing>
                  <wp:anchor distT="0" distB="0" distL="114300" distR="114300" simplePos="0" relativeHeight="251661312" behindDoc="0" locked="0" layoutInCell="1" allowOverlap="1" wp14:anchorId="5CB11AF7" wp14:editId="11645D82">
                    <wp:simplePos x="0" y="0"/>
                    <wp:positionH relativeFrom="column">
                      <wp:posOffset>-198755</wp:posOffset>
                    </wp:positionH>
                    <wp:positionV relativeFrom="paragraph">
                      <wp:posOffset>-38100</wp:posOffset>
                    </wp:positionV>
                    <wp:extent cx="1615440" cy="426720"/>
                    <wp:effectExtent l="76200" t="38100" r="99060" b="106680"/>
                    <wp:wrapNone/>
                    <wp:docPr id="4" name="4 Rectángulo redondeado"/>
                    <wp:cNvGraphicFramePr/>
                    <a:graphic xmlns:a="http://schemas.openxmlformats.org/drawingml/2006/main">
                      <a:graphicData uri="http://schemas.microsoft.com/office/word/2010/wordprocessingShape">
                        <wps:wsp>
                          <wps:cNvSpPr/>
                          <wps:spPr>
                            <a:xfrm>
                              <a:off x="0" y="0"/>
                              <a:ext cx="1615440" cy="426720"/>
                            </a:xfrm>
                            <a:prstGeom prst="roundRect">
                              <a:avLst/>
                            </a:prstGeom>
                            <a:solidFill>
                              <a:schemeClr val="accent4">
                                <a:lumMod val="75000"/>
                              </a:schemeClr>
                            </a:solid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 Rectángulo redondeado" o:spid="_x0000_s1026" style="position:absolute;left:0;text-align:left;margin-left:-15.65pt;margin-top:-3pt;width:127.2pt;height:3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" fillcolor="#5f497a [2407]" stroked="f" strokeweight=".25pt">
                    <v:shadow on="t" color="black" opacity="20971f" offset="0,2.2pt"/>
                    <v:textbo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v:textbox>
                  </v:roundrect>
                </w:pict>
              </mc:Fallback>
            </mc:AlternateContent>
          </w:r>
        </w:p>
        <w:p w:rsidR="008F1315" w:rsidRDefault="008F1315" w:rsidP="00DA6CCE">
          <w:pPr>
            <w:jc w:val="both"/>
            <w:rPr>
              <w:noProof/>
              <w:lang w:eastAsia="es-ES"/>
            </w:rPr>
          </w:pPr>
        </w:p>
        <w:p w:rsidR="00F34F01" w:rsidRDefault="00425194" w:rsidP="00DA6CCE">
          <w:pPr>
            <w:jc w:val="both"/>
            <w:rPr>
              <w:noProof/>
              <w:lang w:eastAsia="es-ES"/>
            </w:rPr>
          </w:pPr>
          <w:r>
            <w:rPr>
              <w:noProof/>
              <w:lang w:eastAsia="es-ES"/>
            </w:rPr>
            <w:drawing>
              <wp:inline distT="0" distB="0" distL="0" distR="0" wp14:anchorId="52640DA8" wp14:editId="636CC02B">
                <wp:extent cx="5402580" cy="1211580"/>
                <wp:effectExtent l="76200" t="0" r="83820" b="4572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82A0A" w:rsidRDefault="00482A0A" w:rsidP="00DA6CCE">
          <w:pPr>
            <w:jc w:val="both"/>
            <w:rPr>
              <w:noProof/>
              <w:lang w:eastAsia="es-ES"/>
            </w:rPr>
          </w:pPr>
        </w:p>
        <w:tbl>
          <w:tblPr>
            <w:tblStyle w:val="Sombreadomedio1-nfasis4"/>
            <w:tblW w:w="9127" w:type="dxa"/>
            <w:tblLook w:val="04A0" w:firstRow="1" w:lastRow="0" w:firstColumn="1" w:lastColumn="0" w:noHBand="0" w:noVBand="1"/>
          </w:tblPr>
          <w:tblGrid>
            <w:gridCol w:w="2537"/>
            <w:gridCol w:w="2988"/>
            <w:gridCol w:w="1228"/>
            <w:gridCol w:w="1146"/>
            <w:gridCol w:w="1228"/>
          </w:tblGrid>
          <w:tr w:rsidR="00482A0A" w:rsidRPr="00482A0A" w:rsidTr="00482A0A">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37" w:type="dxa"/>
                <w:noWrap/>
                <w:hideMark/>
              </w:tcPr>
              <w:p w:rsidR="00482A0A" w:rsidRPr="00482A0A" w:rsidRDefault="00482A0A" w:rsidP="00482A0A">
                <w:pPr>
                  <w:jc w:val="center"/>
                  <w:rPr>
                    <w:rFonts w:eastAsia="Times New Roman" w:cs="Times New Roman"/>
                    <w:sz w:val="20"/>
                    <w:szCs w:val="20"/>
                    <w:lang w:eastAsia="es-ES"/>
                  </w:rPr>
                </w:pPr>
                <w:r w:rsidRPr="00482A0A">
                  <w:rPr>
                    <w:rFonts w:eastAsia="Times New Roman" w:cs="Times New Roman"/>
                    <w:sz w:val="20"/>
                    <w:szCs w:val="20"/>
                    <w:lang w:eastAsia="es-ES"/>
                  </w:rPr>
                  <w:t>GRUPO</w:t>
                </w:r>
              </w:p>
            </w:tc>
            <w:tc>
              <w:tcPr>
                <w:tcW w:w="2988" w:type="dxa"/>
                <w:noWrap/>
                <w:hideMark/>
              </w:tcPr>
              <w:p w:rsidR="00482A0A" w:rsidRPr="00482A0A" w:rsidRDefault="00482A0A" w:rsidP="00482A0A">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482A0A">
                  <w:rPr>
                    <w:rFonts w:eastAsia="Times New Roman" w:cs="Times New Roman"/>
                    <w:sz w:val="20"/>
                    <w:szCs w:val="20"/>
                    <w:lang w:eastAsia="es-ES"/>
                  </w:rPr>
                  <w:t>BAJO ARAGON MATARRAÑ</w:t>
                </w:r>
              </w:p>
            </w:tc>
            <w:tc>
              <w:tcPr>
                <w:tcW w:w="1228" w:type="dxa"/>
                <w:noWrap/>
                <w:hideMark/>
              </w:tcPr>
              <w:p w:rsidR="00482A0A" w:rsidRPr="00482A0A" w:rsidRDefault="00482A0A" w:rsidP="00482A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p>
            </w:tc>
            <w:tc>
              <w:tcPr>
                <w:tcW w:w="1146" w:type="dxa"/>
                <w:noWrap/>
                <w:hideMark/>
              </w:tcPr>
              <w:p w:rsidR="00482A0A" w:rsidRPr="00482A0A" w:rsidRDefault="00482A0A" w:rsidP="00482A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p>
            </w:tc>
            <w:tc>
              <w:tcPr>
                <w:tcW w:w="1228" w:type="dxa"/>
                <w:noWrap/>
                <w:hideMark/>
              </w:tcPr>
              <w:p w:rsidR="00482A0A" w:rsidRPr="00482A0A" w:rsidRDefault="00482A0A" w:rsidP="00482A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p>
            </w:tc>
          </w:tr>
          <w:tr w:rsidR="00482A0A" w:rsidRPr="00482A0A" w:rsidTr="00482A0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37" w:type="dxa"/>
                <w:vMerge w:val="restart"/>
                <w:hideMark/>
              </w:tcPr>
              <w:p w:rsidR="00482A0A" w:rsidRPr="00482A0A" w:rsidRDefault="00482A0A" w:rsidP="00482A0A">
                <w:pPr>
                  <w:jc w:val="center"/>
                  <w:rPr>
                    <w:rFonts w:eastAsia="Times New Roman" w:cs="Times New Roman"/>
                    <w:sz w:val="20"/>
                    <w:szCs w:val="20"/>
                    <w:lang w:eastAsia="es-ES"/>
                  </w:rPr>
                </w:pPr>
                <w:r w:rsidRPr="00482A0A">
                  <w:rPr>
                    <w:rFonts w:eastAsia="Times New Roman" w:cs="Times New Roman"/>
                    <w:sz w:val="20"/>
                    <w:szCs w:val="20"/>
                    <w:lang w:eastAsia="es-ES"/>
                  </w:rPr>
                  <w:t>Clasificación zona</w:t>
                </w:r>
              </w:p>
            </w:tc>
            <w:tc>
              <w:tcPr>
                <w:tcW w:w="4216" w:type="dxa"/>
                <w:gridSpan w:val="2"/>
                <w:noWrap/>
                <w:hideMark/>
              </w:tcPr>
              <w:p w:rsidR="00482A0A" w:rsidRPr="00482A0A" w:rsidRDefault="00482A0A" w:rsidP="00482A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482A0A">
                  <w:rPr>
                    <w:rFonts w:eastAsia="Times New Roman" w:cs="Times New Roman"/>
                    <w:b/>
                    <w:bCs/>
                    <w:sz w:val="20"/>
                    <w:szCs w:val="20"/>
                    <w:lang w:eastAsia="es-ES"/>
                  </w:rPr>
                  <w:t>Población</w:t>
                </w:r>
              </w:p>
            </w:tc>
            <w:tc>
              <w:tcPr>
                <w:tcW w:w="2374" w:type="dxa"/>
                <w:gridSpan w:val="2"/>
                <w:noWrap/>
                <w:hideMark/>
              </w:tcPr>
              <w:p w:rsidR="00482A0A" w:rsidRPr="00482A0A" w:rsidRDefault="00482A0A" w:rsidP="00482A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482A0A">
                  <w:rPr>
                    <w:rFonts w:eastAsia="Times New Roman" w:cs="Times New Roman"/>
                    <w:b/>
                    <w:bCs/>
                    <w:sz w:val="20"/>
                    <w:szCs w:val="20"/>
                    <w:lang w:eastAsia="es-ES"/>
                  </w:rPr>
                  <w:t>Localidades</w:t>
                </w:r>
              </w:p>
            </w:tc>
          </w:tr>
          <w:tr w:rsidR="00482A0A" w:rsidRPr="00482A0A" w:rsidTr="00482A0A">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37" w:type="dxa"/>
                <w:vMerge/>
                <w:hideMark/>
              </w:tcPr>
              <w:p w:rsidR="00482A0A" w:rsidRPr="00482A0A" w:rsidRDefault="00482A0A" w:rsidP="00482A0A">
                <w:pPr>
                  <w:rPr>
                    <w:rFonts w:eastAsia="Times New Roman" w:cs="Times New Roman"/>
                    <w:sz w:val="20"/>
                    <w:szCs w:val="20"/>
                    <w:lang w:eastAsia="es-ES"/>
                  </w:rPr>
                </w:pPr>
              </w:p>
            </w:tc>
            <w:tc>
              <w:tcPr>
                <w:tcW w:w="2988" w:type="dxa"/>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82A0A">
                  <w:rPr>
                    <w:rFonts w:eastAsia="Times New Roman" w:cs="Times New Roman"/>
                    <w:b/>
                    <w:bCs/>
                    <w:sz w:val="20"/>
                    <w:szCs w:val="20"/>
                    <w:lang w:eastAsia="es-ES"/>
                  </w:rPr>
                  <w:t>Nº</w:t>
                </w:r>
              </w:p>
            </w:tc>
            <w:tc>
              <w:tcPr>
                <w:tcW w:w="1228" w:type="dxa"/>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82A0A">
                  <w:rPr>
                    <w:rFonts w:eastAsia="Times New Roman" w:cs="Times New Roman"/>
                    <w:b/>
                    <w:bCs/>
                    <w:sz w:val="20"/>
                    <w:szCs w:val="20"/>
                    <w:lang w:eastAsia="es-ES"/>
                  </w:rPr>
                  <w:t>%</w:t>
                </w:r>
              </w:p>
            </w:tc>
            <w:tc>
              <w:tcPr>
                <w:tcW w:w="1146" w:type="dxa"/>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82A0A">
                  <w:rPr>
                    <w:rFonts w:eastAsia="Times New Roman" w:cs="Times New Roman"/>
                    <w:b/>
                    <w:bCs/>
                    <w:sz w:val="20"/>
                    <w:szCs w:val="20"/>
                    <w:lang w:eastAsia="es-ES"/>
                  </w:rPr>
                  <w:t>Nº</w:t>
                </w:r>
              </w:p>
            </w:tc>
            <w:tc>
              <w:tcPr>
                <w:tcW w:w="1228" w:type="dxa"/>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82A0A">
                  <w:rPr>
                    <w:rFonts w:eastAsia="Times New Roman" w:cs="Times New Roman"/>
                    <w:b/>
                    <w:bCs/>
                    <w:sz w:val="20"/>
                    <w:szCs w:val="20"/>
                    <w:lang w:eastAsia="es-ES"/>
                  </w:rPr>
                  <w:t>%</w:t>
                </w:r>
              </w:p>
            </w:tc>
          </w:tr>
          <w:tr w:rsidR="00482A0A" w:rsidRPr="00482A0A" w:rsidTr="00482A0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37" w:type="dxa"/>
                <w:noWrap/>
                <w:hideMark/>
              </w:tcPr>
              <w:p w:rsidR="00482A0A" w:rsidRPr="00482A0A" w:rsidRDefault="00482A0A" w:rsidP="00482A0A">
                <w:pPr>
                  <w:jc w:val="center"/>
                  <w:rPr>
                    <w:rFonts w:eastAsia="Times New Roman" w:cs="Times New Roman"/>
                    <w:sz w:val="20"/>
                    <w:szCs w:val="20"/>
                    <w:lang w:eastAsia="es-ES"/>
                  </w:rPr>
                </w:pPr>
                <w:r w:rsidRPr="00482A0A">
                  <w:rPr>
                    <w:rFonts w:eastAsia="Times New Roman" w:cs="Times New Roman"/>
                    <w:sz w:val="20"/>
                    <w:szCs w:val="20"/>
                    <w:lang w:eastAsia="es-ES"/>
                  </w:rPr>
                  <w:t>Zona rural (&lt;2000)</w:t>
                </w:r>
              </w:p>
            </w:tc>
            <w:tc>
              <w:tcPr>
                <w:tcW w:w="2988" w:type="dxa"/>
                <w:noWrap/>
                <w:hideMark/>
              </w:tcPr>
              <w:p w:rsidR="00482A0A" w:rsidRPr="00482A0A" w:rsidRDefault="00482A0A" w:rsidP="00482A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482A0A">
                  <w:rPr>
                    <w:rFonts w:eastAsia="Times New Roman" w:cs="Times New Roman"/>
                    <w:sz w:val="20"/>
                    <w:szCs w:val="20"/>
                    <w:lang w:eastAsia="es-ES"/>
                  </w:rPr>
                  <w:t>12361</w:t>
                </w:r>
              </w:p>
            </w:tc>
            <w:tc>
              <w:tcPr>
                <w:tcW w:w="1228" w:type="dxa"/>
                <w:noWrap/>
                <w:hideMark/>
              </w:tcPr>
              <w:p w:rsidR="00482A0A" w:rsidRPr="00482A0A" w:rsidRDefault="00482A0A" w:rsidP="00482A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482A0A">
                  <w:rPr>
                    <w:rFonts w:eastAsia="Times New Roman" w:cs="Times New Roman"/>
                    <w:sz w:val="20"/>
                    <w:szCs w:val="20"/>
                    <w:lang w:eastAsia="es-ES"/>
                  </w:rPr>
                  <w:t>32,10%</w:t>
                </w:r>
              </w:p>
            </w:tc>
            <w:tc>
              <w:tcPr>
                <w:tcW w:w="1146" w:type="dxa"/>
                <w:noWrap/>
                <w:hideMark/>
              </w:tcPr>
              <w:p w:rsidR="00482A0A" w:rsidRPr="00482A0A" w:rsidRDefault="00482A0A" w:rsidP="00482A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482A0A">
                  <w:rPr>
                    <w:rFonts w:eastAsia="Times New Roman" w:cs="Times New Roman"/>
                    <w:sz w:val="20"/>
                    <w:szCs w:val="20"/>
                    <w:lang w:eastAsia="es-ES"/>
                  </w:rPr>
                  <w:t>34</w:t>
                </w:r>
              </w:p>
            </w:tc>
            <w:tc>
              <w:tcPr>
                <w:tcW w:w="1228" w:type="dxa"/>
                <w:noWrap/>
                <w:hideMark/>
              </w:tcPr>
              <w:p w:rsidR="00482A0A" w:rsidRPr="00482A0A" w:rsidRDefault="00482A0A" w:rsidP="00482A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482A0A">
                  <w:rPr>
                    <w:rFonts w:eastAsia="Times New Roman" w:cs="Times New Roman"/>
                    <w:sz w:val="20"/>
                    <w:szCs w:val="20"/>
                    <w:lang w:eastAsia="es-ES"/>
                  </w:rPr>
                  <w:t>89,47%</w:t>
                </w:r>
              </w:p>
            </w:tc>
          </w:tr>
          <w:tr w:rsidR="00482A0A" w:rsidRPr="00482A0A" w:rsidTr="00482A0A">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37" w:type="dxa"/>
                <w:noWrap/>
                <w:hideMark/>
              </w:tcPr>
              <w:p w:rsidR="00482A0A" w:rsidRPr="00482A0A" w:rsidRDefault="00482A0A" w:rsidP="00482A0A">
                <w:pPr>
                  <w:jc w:val="center"/>
                  <w:rPr>
                    <w:rFonts w:eastAsia="Times New Roman" w:cs="Times New Roman"/>
                    <w:sz w:val="20"/>
                    <w:szCs w:val="20"/>
                    <w:lang w:eastAsia="es-ES"/>
                  </w:rPr>
                </w:pPr>
                <w:r w:rsidRPr="00482A0A">
                  <w:rPr>
                    <w:rFonts w:eastAsia="Times New Roman" w:cs="Times New Roman"/>
                    <w:sz w:val="20"/>
                    <w:szCs w:val="20"/>
                    <w:lang w:eastAsia="es-ES"/>
                  </w:rPr>
                  <w:t>Zona intermedia (&lt; 10000)</w:t>
                </w:r>
              </w:p>
            </w:tc>
            <w:tc>
              <w:tcPr>
                <w:tcW w:w="2988" w:type="dxa"/>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482A0A">
                  <w:rPr>
                    <w:rFonts w:eastAsia="Times New Roman" w:cs="Times New Roman"/>
                    <w:sz w:val="20"/>
                    <w:szCs w:val="20"/>
                    <w:lang w:eastAsia="es-ES"/>
                  </w:rPr>
                  <w:t>9760</w:t>
                </w:r>
              </w:p>
            </w:tc>
            <w:tc>
              <w:tcPr>
                <w:tcW w:w="1228" w:type="dxa"/>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482A0A">
                  <w:rPr>
                    <w:rFonts w:eastAsia="Times New Roman" w:cs="Times New Roman"/>
                    <w:sz w:val="20"/>
                    <w:szCs w:val="20"/>
                    <w:lang w:eastAsia="es-ES"/>
                  </w:rPr>
                  <w:t>25,35%</w:t>
                </w:r>
              </w:p>
            </w:tc>
            <w:tc>
              <w:tcPr>
                <w:tcW w:w="1146" w:type="dxa"/>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482A0A">
                  <w:rPr>
                    <w:rFonts w:eastAsia="Times New Roman" w:cs="Times New Roman"/>
                    <w:sz w:val="20"/>
                    <w:szCs w:val="20"/>
                    <w:lang w:eastAsia="es-ES"/>
                  </w:rPr>
                  <w:t>3</w:t>
                </w:r>
              </w:p>
            </w:tc>
            <w:tc>
              <w:tcPr>
                <w:tcW w:w="1228" w:type="dxa"/>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482A0A">
                  <w:rPr>
                    <w:rFonts w:eastAsia="Times New Roman" w:cs="Times New Roman"/>
                    <w:sz w:val="20"/>
                    <w:szCs w:val="20"/>
                    <w:lang w:eastAsia="es-ES"/>
                  </w:rPr>
                  <w:t>7,89%</w:t>
                </w:r>
              </w:p>
            </w:tc>
          </w:tr>
          <w:tr w:rsidR="00482A0A" w:rsidRPr="00482A0A" w:rsidTr="00482A0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37" w:type="dxa"/>
                <w:noWrap/>
                <w:hideMark/>
              </w:tcPr>
              <w:p w:rsidR="00482A0A" w:rsidRPr="00482A0A" w:rsidRDefault="00482A0A" w:rsidP="00482A0A">
                <w:pPr>
                  <w:jc w:val="center"/>
                  <w:rPr>
                    <w:rFonts w:eastAsia="Times New Roman" w:cs="Times New Roman"/>
                    <w:sz w:val="20"/>
                    <w:szCs w:val="20"/>
                    <w:lang w:eastAsia="es-ES"/>
                  </w:rPr>
                </w:pPr>
                <w:r w:rsidRPr="00482A0A">
                  <w:rPr>
                    <w:rFonts w:eastAsia="Times New Roman" w:cs="Times New Roman"/>
                    <w:sz w:val="20"/>
                    <w:szCs w:val="20"/>
                    <w:lang w:eastAsia="es-ES"/>
                  </w:rPr>
                  <w:t>Zona urbana (&gt; 10000)</w:t>
                </w:r>
              </w:p>
            </w:tc>
            <w:tc>
              <w:tcPr>
                <w:tcW w:w="2988" w:type="dxa"/>
                <w:noWrap/>
                <w:hideMark/>
              </w:tcPr>
              <w:p w:rsidR="00482A0A" w:rsidRPr="00482A0A" w:rsidRDefault="00482A0A" w:rsidP="00482A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482A0A">
                  <w:rPr>
                    <w:rFonts w:eastAsia="Times New Roman" w:cs="Times New Roman"/>
                    <w:sz w:val="20"/>
                    <w:szCs w:val="20"/>
                    <w:lang w:eastAsia="es-ES"/>
                  </w:rPr>
                  <w:t>16384</w:t>
                </w:r>
              </w:p>
            </w:tc>
            <w:tc>
              <w:tcPr>
                <w:tcW w:w="1228" w:type="dxa"/>
                <w:noWrap/>
                <w:hideMark/>
              </w:tcPr>
              <w:p w:rsidR="00482A0A" w:rsidRPr="00482A0A" w:rsidRDefault="00482A0A" w:rsidP="00482A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482A0A">
                  <w:rPr>
                    <w:rFonts w:eastAsia="Times New Roman" w:cs="Times New Roman"/>
                    <w:sz w:val="20"/>
                    <w:szCs w:val="20"/>
                    <w:lang w:eastAsia="es-ES"/>
                  </w:rPr>
                  <w:t>42,55%</w:t>
                </w:r>
              </w:p>
            </w:tc>
            <w:tc>
              <w:tcPr>
                <w:tcW w:w="1146" w:type="dxa"/>
                <w:noWrap/>
                <w:hideMark/>
              </w:tcPr>
              <w:p w:rsidR="00482A0A" w:rsidRPr="00482A0A" w:rsidRDefault="00482A0A" w:rsidP="00482A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482A0A">
                  <w:rPr>
                    <w:rFonts w:eastAsia="Times New Roman" w:cs="Times New Roman"/>
                    <w:sz w:val="20"/>
                    <w:szCs w:val="20"/>
                    <w:lang w:eastAsia="es-ES"/>
                  </w:rPr>
                  <w:t>1</w:t>
                </w:r>
              </w:p>
            </w:tc>
            <w:tc>
              <w:tcPr>
                <w:tcW w:w="1228" w:type="dxa"/>
                <w:noWrap/>
                <w:hideMark/>
              </w:tcPr>
              <w:p w:rsidR="00482A0A" w:rsidRPr="00482A0A" w:rsidRDefault="00482A0A" w:rsidP="00482A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482A0A">
                  <w:rPr>
                    <w:rFonts w:eastAsia="Times New Roman" w:cs="Times New Roman"/>
                    <w:sz w:val="20"/>
                    <w:szCs w:val="20"/>
                    <w:lang w:eastAsia="es-ES"/>
                  </w:rPr>
                  <w:t>2,63%</w:t>
                </w:r>
              </w:p>
            </w:tc>
          </w:tr>
          <w:tr w:rsidR="00482A0A" w:rsidRPr="00482A0A" w:rsidTr="00482A0A">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37" w:type="dxa"/>
                <w:noWrap/>
                <w:hideMark/>
              </w:tcPr>
              <w:p w:rsidR="00482A0A" w:rsidRPr="00482A0A" w:rsidRDefault="00482A0A" w:rsidP="00482A0A">
                <w:pPr>
                  <w:jc w:val="center"/>
                  <w:rPr>
                    <w:rFonts w:eastAsia="Times New Roman" w:cs="Times New Roman"/>
                    <w:sz w:val="20"/>
                    <w:szCs w:val="20"/>
                    <w:lang w:eastAsia="es-ES"/>
                  </w:rPr>
                </w:pPr>
                <w:r w:rsidRPr="00482A0A">
                  <w:rPr>
                    <w:rFonts w:eastAsia="Times New Roman" w:cs="Times New Roman"/>
                    <w:sz w:val="20"/>
                    <w:szCs w:val="20"/>
                    <w:lang w:eastAsia="es-ES"/>
                  </w:rPr>
                  <w:t>Total</w:t>
                </w:r>
              </w:p>
            </w:tc>
            <w:tc>
              <w:tcPr>
                <w:tcW w:w="2988" w:type="dxa"/>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482A0A">
                  <w:rPr>
                    <w:rFonts w:eastAsia="Times New Roman" w:cs="Times New Roman"/>
                    <w:sz w:val="20"/>
                    <w:szCs w:val="20"/>
                    <w:lang w:eastAsia="es-ES"/>
                  </w:rPr>
                  <w:t>38505</w:t>
                </w:r>
              </w:p>
            </w:tc>
            <w:tc>
              <w:tcPr>
                <w:tcW w:w="1228" w:type="dxa"/>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482A0A">
                  <w:rPr>
                    <w:rFonts w:eastAsia="Times New Roman" w:cs="Times New Roman"/>
                    <w:sz w:val="20"/>
                    <w:szCs w:val="20"/>
                    <w:lang w:eastAsia="es-ES"/>
                  </w:rPr>
                  <w:t>100,00%</w:t>
                </w:r>
              </w:p>
            </w:tc>
            <w:tc>
              <w:tcPr>
                <w:tcW w:w="1146" w:type="dxa"/>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482A0A">
                  <w:rPr>
                    <w:rFonts w:eastAsia="Times New Roman" w:cs="Times New Roman"/>
                    <w:sz w:val="20"/>
                    <w:szCs w:val="20"/>
                    <w:lang w:eastAsia="es-ES"/>
                  </w:rPr>
                  <w:t>38</w:t>
                </w:r>
              </w:p>
            </w:tc>
            <w:tc>
              <w:tcPr>
                <w:tcW w:w="1228" w:type="dxa"/>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482A0A">
                  <w:rPr>
                    <w:rFonts w:eastAsia="Times New Roman" w:cs="Times New Roman"/>
                    <w:sz w:val="20"/>
                    <w:szCs w:val="20"/>
                    <w:lang w:eastAsia="es-ES"/>
                  </w:rPr>
                  <w:t>100,00%</w:t>
                </w:r>
              </w:p>
            </w:tc>
          </w:tr>
        </w:tbl>
        <w:p w:rsidR="005F081D" w:rsidRDefault="005F081D" w:rsidP="00DA6CCE">
          <w:pPr>
            <w:jc w:val="both"/>
            <w:rPr>
              <w:noProof/>
              <w:lang w:eastAsia="es-ES"/>
            </w:rPr>
          </w:pPr>
        </w:p>
        <w:p w:rsidR="005F081D" w:rsidRPr="000E24E8" w:rsidRDefault="005F081D" w:rsidP="00DA6CCE">
          <w:pPr>
            <w:pStyle w:val="Prrafodelista"/>
            <w:numPr>
              <w:ilvl w:val="0"/>
              <w:numId w:val="1"/>
            </w:numPr>
            <w:jc w:val="both"/>
            <w:rPr>
              <w:b/>
              <w:noProof/>
              <w:sz w:val="24"/>
              <w:szCs w:val="24"/>
              <w:lang w:eastAsia="es-ES"/>
            </w:rPr>
          </w:pPr>
          <w:r w:rsidRPr="000E24E8">
            <w:rPr>
              <w:b/>
              <w:noProof/>
              <w:sz w:val="24"/>
              <w:szCs w:val="24"/>
              <w:lang w:eastAsia="es-ES"/>
            </w:rPr>
            <w:t>Pirámide de población:</w:t>
          </w:r>
        </w:p>
        <w:p w:rsidR="005F081D" w:rsidRDefault="005F081D" w:rsidP="00DA6CCE">
          <w:pPr>
            <w:pStyle w:val="Prrafodelista"/>
            <w:jc w:val="both"/>
            <w:rPr>
              <w:noProof/>
              <w:lang w:eastAsia="es-ES"/>
            </w:rPr>
          </w:pPr>
        </w:p>
        <w:p w:rsidR="005047FE" w:rsidRDefault="00482A0A" w:rsidP="00482A0A">
          <w:pPr>
            <w:pStyle w:val="Prrafodelista"/>
            <w:ind w:left="284"/>
            <w:jc w:val="both"/>
            <w:rPr>
              <w:noProof/>
              <w:lang w:eastAsia="es-ES"/>
            </w:rPr>
          </w:pPr>
          <w:r>
            <w:rPr>
              <w:noProof/>
              <w:lang w:eastAsia="es-ES"/>
            </w:rPr>
            <w:drawing>
              <wp:inline distT="0" distB="0" distL="0" distR="0" wp14:anchorId="5E151F2A" wp14:editId="6B597D86">
                <wp:extent cx="5400040" cy="3589640"/>
                <wp:effectExtent l="0" t="0" r="10160" b="1143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222AC" w:rsidRDefault="008222AC" w:rsidP="00DA6CCE">
          <w:pPr>
            <w:jc w:val="both"/>
            <w:rPr>
              <w:noProof/>
              <w:lang w:eastAsia="es-ES"/>
            </w:rPr>
          </w:pPr>
        </w:p>
        <w:p w:rsidR="00533C22" w:rsidRDefault="00533C22" w:rsidP="00DA6CCE">
          <w:pPr>
            <w:pStyle w:val="Prrafodelista"/>
            <w:numPr>
              <w:ilvl w:val="0"/>
              <w:numId w:val="1"/>
            </w:numPr>
            <w:jc w:val="both"/>
            <w:rPr>
              <w:b/>
              <w:sz w:val="24"/>
              <w:szCs w:val="24"/>
            </w:rPr>
          </w:pPr>
          <w:r w:rsidRPr="00533C22">
            <w:rPr>
              <w:b/>
              <w:sz w:val="24"/>
              <w:szCs w:val="24"/>
            </w:rPr>
            <w:lastRenderedPageBreak/>
            <w:t>Evolución de la población (1900-2013):</w:t>
          </w:r>
        </w:p>
        <w:p w:rsidR="00533C22" w:rsidRDefault="00533C22" w:rsidP="00DA6CCE">
          <w:pPr>
            <w:pStyle w:val="Prrafodelista"/>
            <w:jc w:val="both"/>
            <w:rPr>
              <w:b/>
              <w:sz w:val="24"/>
              <w:szCs w:val="24"/>
            </w:rPr>
          </w:pPr>
        </w:p>
        <w:p w:rsidR="00533C22" w:rsidRDefault="00482A0A" w:rsidP="00DC45B6">
          <w:pPr>
            <w:pStyle w:val="Prrafodelista"/>
            <w:ind w:left="426"/>
            <w:jc w:val="center"/>
            <w:rPr>
              <w:b/>
              <w:sz w:val="24"/>
              <w:szCs w:val="24"/>
            </w:rPr>
          </w:pPr>
          <w:r>
            <w:rPr>
              <w:noProof/>
              <w:lang w:eastAsia="es-ES"/>
            </w:rPr>
            <w:drawing>
              <wp:inline distT="0" distB="0" distL="0" distR="0" wp14:anchorId="633173C4" wp14:editId="7B330A3B">
                <wp:extent cx="5405120" cy="3037840"/>
                <wp:effectExtent l="0" t="0" r="24130" b="1016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3C22" w:rsidRPr="00533C22" w:rsidRDefault="00533C22" w:rsidP="00DA6CCE">
          <w:pPr>
            <w:pStyle w:val="Prrafodelista"/>
            <w:jc w:val="both"/>
          </w:pPr>
        </w:p>
        <w:p w:rsidR="00533C22" w:rsidRDefault="00533C22" w:rsidP="00DA6CCE">
          <w:pPr>
            <w:pStyle w:val="Prrafodelista"/>
            <w:numPr>
              <w:ilvl w:val="0"/>
              <w:numId w:val="1"/>
            </w:numPr>
            <w:jc w:val="both"/>
            <w:rPr>
              <w:sz w:val="24"/>
              <w:szCs w:val="24"/>
            </w:rPr>
          </w:pPr>
          <w:r w:rsidRPr="00533C22">
            <w:rPr>
              <w:b/>
              <w:sz w:val="24"/>
              <w:szCs w:val="24"/>
            </w:rPr>
            <w:t xml:space="preserve">Porcentaje de hombres y mujeres sobre el total de la población según grupos de edad. </w:t>
          </w:r>
          <w:r w:rsidRPr="00533C22">
            <w:rPr>
              <w:sz w:val="24"/>
              <w:szCs w:val="24"/>
            </w:rPr>
            <w:t>Muestra el porcentaje de mujeres que pertenecen a cada grupo de edad en relación a la CA de Aragón.</w:t>
          </w:r>
        </w:p>
        <w:p w:rsidR="00482A0A" w:rsidRDefault="00482A0A" w:rsidP="00482A0A">
          <w:pPr>
            <w:pStyle w:val="Prrafodelista"/>
            <w:jc w:val="both"/>
            <w:rPr>
              <w:sz w:val="24"/>
              <w:szCs w:val="24"/>
            </w:rPr>
          </w:pPr>
        </w:p>
        <w:p w:rsidR="00533C22" w:rsidRDefault="00482A0A" w:rsidP="00A33934">
          <w:pPr>
            <w:pStyle w:val="Prrafodelista"/>
            <w:jc w:val="both"/>
            <w:rPr>
              <w:sz w:val="24"/>
              <w:szCs w:val="24"/>
            </w:rPr>
          </w:pPr>
          <w:r w:rsidRPr="00482A0A">
            <w:rPr>
              <w:noProof/>
              <w:lang w:eastAsia="es-ES"/>
            </w:rPr>
            <w:drawing>
              <wp:inline distT="0" distB="0" distL="0" distR="0" wp14:anchorId="701C6614" wp14:editId="0C84F5CB">
                <wp:extent cx="5394958" cy="1198880"/>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200009"/>
                        </a:xfrm>
                        <a:prstGeom prst="rect">
                          <a:avLst/>
                        </a:prstGeom>
                        <a:noFill/>
                        <a:ln>
                          <a:noFill/>
                        </a:ln>
                      </pic:spPr>
                    </pic:pic>
                  </a:graphicData>
                </a:graphic>
              </wp:inline>
            </w:drawing>
          </w:r>
        </w:p>
        <w:p w:rsidR="00A33934" w:rsidRPr="00A33934" w:rsidRDefault="00A33934" w:rsidP="00A33934">
          <w:pPr>
            <w:pStyle w:val="Prrafodelista"/>
            <w:jc w:val="both"/>
            <w:rPr>
              <w:sz w:val="24"/>
              <w:szCs w:val="24"/>
            </w:rPr>
          </w:pPr>
        </w:p>
        <w:p w:rsidR="00533C22" w:rsidRDefault="00533C22" w:rsidP="00FA17CC">
          <w:pPr>
            <w:pStyle w:val="Prrafodelista"/>
            <w:numPr>
              <w:ilvl w:val="0"/>
              <w:numId w:val="1"/>
            </w:numPr>
            <w:jc w:val="both"/>
            <w:rPr>
              <w:sz w:val="24"/>
              <w:szCs w:val="24"/>
            </w:rPr>
          </w:pPr>
          <w:r w:rsidRPr="00B26632">
            <w:rPr>
              <w:b/>
              <w:sz w:val="24"/>
              <w:szCs w:val="24"/>
            </w:rPr>
            <w:t>Porcentaje de hombres y mujeres sobre el total de los mismos</w:t>
          </w:r>
          <w:r w:rsidRPr="00B26632">
            <w:rPr>
              <w:sz w:val="24"/>
              <w:szCs w:val="24"/>
            </w:rPr>
            <w:t>. Dicho indicador trata de reflejar por un lado sobre el total de hombres y por el otro, de mujeres, el sector de edad en el que se engloba mayor cantidad de los mismos.</w:t>
          </w:r>
        </w:p>
        <w:p w:rsidR="00A33934" w:rsidRPr="00FA17CC" w:rsidRDefault="00A33934" w:rsidP="00A33934">
          <w:pPr>
            <w:pStyle w:val="Prrafodelista"/>
            <w:jc w:val="both"/>
            <w:rPr>
              <w:sz w:val="24"/>
              <w:szCs w:val="24"/>
            </w:rPr>
          </w:pPr>
        </w:p>
        <w:p w:rsidR="00533C22" w:rsidRDefault="00482A0A" w:rsidP="00CE7FA3">
          <w:pPr>
            <w:pStyle w:val="Prrafodelista"/>
            <w:ind w:left="567"/>
            <w:jc w:val="both"/>
            <w:rPr>
              <w:sz w:val="24"/>
              <w:szCs w:val="24"/>
            </w:rPr>
          </w:pPr>
          <w:r w:rsidRPr="00482A0A">
            <w:rPr>
              <w:noProof/>
              <w:lang w:eastAsia="es-ES"/>
            </w:rPr>
            <w:drawing>
              <wp:inline distT="0" distB="0" distL="0" distR="0" wp14:anchorId="63D62F35" wp14:editId="2ADDE284">
                <wp:extent cx="5486400" cy="1178560"/>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1567" cy="1179670"/>
                        </a:xfrm>
                        <a:prstGeom prst="rect">
                          <a:avLst/>
                        </a:prstGeom>
                        <a:noFill/>
                        <a:ln>
                          <a:noFill/>
                        </a:ln>
                      </pic:spPr>
                    </pic:pic>
                  </a:graphicData>
                </a:graphic>
              </wp:inline>
            </w:drawing>
          </w:r>
        </w:p>
        <w:p w:rsidR="00BB78C6" w:rsidRDefault="00BB78C6" w:rsidP="00DA6CCE">
          <w:pPr>
            <w:jc w:val="both"/>
            <w:rPr>
              <w:sz w:val="24"/>
              <w:szCs w:val="24"/>
            </w:rPr>
          </w:pPr>
        </w:p>
        <w:p w:rsidR="00482A0A" w:rsidRPr="0092710E" w:rsidRDefault="00482A0A" w:rsidP="00DA6CCE">
          <w:pPr>
            <w:jc w:val="both"/>
            <w:rPr>
              <w:sz w:val="24"/>
              <w:szCs w:val="24"/>
            </w:rPr>
          </w:pPr>
        </w:p>
        <w:p w:rsidR="00533C22" w:rsidRPr="00533C22" w:rsidRDefault="00533C22" w:rsidP="00DA6CCE">
          <w:pPr>
            <w:pStyle w:val="Prrafodelista"/>
            <w:numPr>
              <w:ilvl w:val="0"/>
              <w:numId w:val="1"/>
            </w:numPr>
            <w:jc w:val="both"/>
            <w:rPr>
              <w:b/>
              <w:sz w:val="24"/>
              <w:szCs w:val="24"/>
            </w:rPr>
          </w:pPr>
          <w:r w:rsidRPr="00533C22">
            <w:rPr>
              <w:b/>
              <w:sz w:val="24"/>
              <w:szCs w:val="24"/>
            </w:rPr>
            <w:lastRenderedPageBreak/>
            <w:t>Tasas de envejecimiento:</w:t>
          </w:r>
        </w:p>
        <w:p w:rsidR="00533C22" w:rsidRPr="00533C22" w:rsidRDefault="00533C22" w:rsidP="00DA6CCE">
          <w:pPr>
            <w:pStyle w:val="Prrafodelista"/>
            <w:numPr>
              <w:ilvl w:val="0"/>
              <w:numId w:val="6"/>
            </w:numPr>
            <w:jc w:val="both"/>
            <w:rPr>
              <w:sz w:val="24"/>
              <w:szCs w:val="24"/>
            </w:rPr>
          </w:pPr>
          <w:r w:rsidRPr="00533C22">
            <w:rPr>
              <w:sz w:val="24"/>
              <w:szCs w:val="24"/>
            </w:rPr>
            <w:t>Personas de 65 y más entre personas de menos de 20 años.</w:t>
          </w:r>
        </w:p>
        <w:p w:rsidR="00533C22" w:rsidRPr="00FC58FF" w:rsidRDefault="00482A0A" w:rsidP="00DA6CCE">
          <w:pPr>
            <w:pStyle w:val="Prrafodelista"/>
            <w:ind w:left="426"/>
            <w:jc w:val="both"/>
          </w:pPr>
          <w:r w:rsidRPr="00482A0A">
            <w:rPr>
              <w:noProof/>
              <w:lang w:eastAsia="es-ES"/>
            </w:rPr>
            <w:drawing>
              <wp:inline distT="0" distB="0" distL="0" distR="0" wp14:anchorId="1D47A8C3" wp14:editId="61220D44">
                <wp:extent cx="5618480" cy="497840"/>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9752" cy="501497"/>
                        </a:xfrm>
                        <a:prstGeom prst="rect">
                          <a:avLst/>
                        </a:prstGeom>
                        <a:noFill/>
                        <a:ln>
                          <a:noFill/>
                        </a:ln>
                      </pic:spPr>
                    </pic:pic>
                  </a:graphicData>
                </a:graphic>
              </wp:inline>
            </w:drawing>
          </w:r>
        </w:p>
        <w:p w:rsidR="00533C22" w:rsidRPr="00533C22" w:rsidRDefault="00533C22" w:rsidP="00DA6CCE">
          <w:pPr>
            <w:pStyle w:val="Prrafodelista"/>
            <w:numPr>
              <w:ilvl w:val="0"/>
              <w:numId w:val="6"/>
            </w:numPr>
            <w:spacing w:after="0" w:line="240" w:lineRule="auto"/>
            <w:jc w:val="both"/>
            <w:rPr>
              <w:rFonts w:eastAsia="Times New Roman" w:cs="Times New Roman"/>
              <w:sz w:val="24"/>
              <w:szCs w:val="24"/>
              <w:lang w:eastAsia="es-ES"/>
            </w:rPr>
          </w:pPr>
          <w:r w:rsidRPr="00533C22">
            <w:rPr>
              <w:rFonts w:eastAsia="Times New Roman" w:cs="Times New Roman"/>
              <w:sz w:val="24"/>
              <w:szCs w:val="24"/>
              <w:lang w:eastAsia="es-ES"/>
            </w:rPr>
            <w:t>Personas de 85 y más entre personas de 65 años o más.</w:t>
          </w:r>
        </w:p>
        <w:p w:rsidR="00533C22" w:rsidRDefault="00482A0A" w:rsidP="00DA6CCE">
          <w:pPr>
            <w:pStyle w:val="Prrafodelista"/>
            <w:ind w:left="426"/>
            <w:jc w:val="both"/>
            <w:rPr>
              <w:b/>
              <w:sz w:val="24"/>
              <w:szCs w:val="24"/>
            </w:rPr>
          </w:pPr>
          <w:r w:rsidRPr="00482A0A">
            <w:rPr>
              <w:noProof/>
              <w:lang w:eastAsia="es-ES"/>
            </w:rPr>
            <w:drawing>
              <wp:inline distT="0" distB="0" distL="0" distR="0" wp14:anchorId="7263CE08" wp14:editId="79E3EB0F">
                <wp:extent cx="5618480" cy="508000"/>
                <wp:effectExtent l="0" t="0" r="127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9754" cy="511732"/>
                        </a:xfrm>
                        <a:prstGeom prst="rect">
                          <a:avLst/>
                        </a:prstGeom>
                        <a:noFill/>
                        <a:ln>
                          <a:noFill/>
                        </a:ln>
                      </pic:spPr>
                    </pic:pic>
                  </a:graphicData>
                </a:graphic>
              </wp:inline>
            </w:drawing>
          </w:r>
        </w:p>
        <w:p w:rsidR="00533C22" w:rsidRPr="00533C22" w:rsidRDefault="00533C22" w:rsidP="00DA6CCE">
          <w:pPr>
            <w:pStyle w:val="Prrafodelista"/>
            <w:numPr>
              <w:ilvl w:val="0"/>
              <w:numId w:val="6"/>
            </w:numPr>
            <w:jc w:val="both"/>
            <w:rPr>
              <w:b/>
              <w:sz w:val="24"/>
              <w:szCs w:val="24"/>
            </w:rPr>
          </w:pPr>
          <w:r w:rsidRPr="00533C22">
            <w:rPr>
              <w:rFonts w:eastAsia="Times New Roman" w:cs="Times New Roman"/>
              <w:sz w:val="24"/>
              <w:szCs w:val="24"/>
              <w:lang w:eastAsia="es-ES"/>
            </w:rPr>
            <w:t>Personas de 0 a 14 y 65 o más entre las personas de 15 a 64.</w:t>
          </w:r>
        </w:p>
        <w:p w:rsidR="00533C22" w:rsidRDefault="00482A0A" w:rsidP="00DA6CCE">
          <w:pPr>
            <w:pStyle w:val="Prrafodelista"/>
            <w:ind w:left="426"/>
            <w:jc w:val="both"/>
            <w:rPr>
              <w:b/>
              <w:sz w:val="24"/>
              <w:szCs w:val="24"/>
            </w:rPr>
          </w:pPr>
          <w:r w:rsidRPr="00482A0A">
            <w:rPr>
              <w:noProof/>
              <w:lang w:eastAsia="es-ES"/>
            </w:rPr>
            <w:drawing>
              <wp:inline distT="0" distB="0" distL="0" distR="0" wp14:anchorId="37BD9CDB" wp14:editId="00374186">
                <wp:extent cx="5618480" cy="508000"/>
                <wp:effectExtent l="0" t="0" r="127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9749" cy="511731"/>
                        </a:xfrm>
                        <a:prstGeom prst="rect">
                          <a:avLst/>
                        </a:prstGeom>
                        <a:noFill/>
                        <a:ln>
                          <a:noFill/>
                        </a:ln>
                      </pic:spPr>
                    </pic:pic>
                  </a:graphicData>
                </a:graphic>
              </wp:inline>
            </w:drawing>
          </w:r>
        </w:p>
        <w:p w:rsidR="00533C22" w:rsidRDefault="00533C22" w:rsidP="00DA6CCE">
          <w:pPr>
            <w:pStyle w:val="Prrafodelista"/>
            <w:ind w:left="426"/>
            <w:jc w:val="both"/>
            <w:rPr>
              <w:b/>
              <w:sz w:val="24"/>
              <w:szCs w:val="24"/>
            </w:rPr>
          </w:pPr>
        </w:p>
        <w:p w:rsidR="00533C22" w:rsidRDefault="00533C22" w:rsidP="00DA6CCE">
          <w:pPr>
            <w:pStyle w:val="Prrafodelista"/>
            <w:numPr>
              <w:ilvl w:val="0"/>
              <w:numId w:val="1"/>
            </w:numPr>
            <w:jc w:val="both"/>
            <w:rPr>
              <w:b/>
              <w:sz w:val="24"/>
              <w:szCs w:val="24"/>
            </w:rPr>
          </w:pPr>
          <w:r w:rsidRPr="00533C22">
            <w:rPr>
              <w:b/>
              <w:sz w:val="24"/>
              <w:szCs w:val="24"/>
            </w:rPr>
            <w:t>Distribución de habitantes y municipios en función del tamaño de los mismos</w:t>
          </w:r>
        </w:p>
        <w:p w:rsidR="00533C22" w:rsidRDefault="00533C22" w:rsidP="00DA6CCE">
          <w:pPr>
            <w:pStyle w:val="Prrafodelista"/>
            <w:jc w:val="both"/>
            <w:rPr>
              <w:b/>
              <w:sz w:val="24"/>
              <w:szCs w:val="24"/>
            </w:rPr>
          </w:pPr>
        </w:p>
        <w:p w:rsidR="00533C22" w:rsidRPr="00533C22" w:rsidRDefault="00482A0A" w:rsidP="00FA17CC">
          <w:pPr>
            <w:pStyle w:val="Prrafodelista"/>
            <w:ind w:hanging="153"/>
            <w:jc w:val="both"/>
            <w:rPr>
              <w:b/>
              <w:sz w:val="24"/>
              <w:szCs w:val="24"/>
            </w:rPr>
          </w:pPr>
          <w:r>
            <w:rPr>
              <w:noProof/>
              <w:lang w:eastAsia="es-ES"/>
            </w:rPr>
            <w:drawing>
              <wp:inline distT="0" distB="0" distL="0" distR="0" wp14:anchorId="62D95B7D" wp14:editId="4797B1E3">
                <wp:extent cx="5400040" cy="2457452"/>
                <wp:effectExtent l="38100" t="0" r="10160"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7330" w:rsidRDefault="00482A0A" w:rsidP="00FA17CC">
          <w:pPr>
            <w:pStyle w:val="Prrafodelista"/>
            <w:ind w:left="709" w:right="-1" w:hanging="142"/>
            <w:jc w:val="both"/>
            <w:rPr>
              <w:b/>
              <w:sz w:val="24"/>
              <w:szCs w:val="24"/>
            </w:rPr>
          </w:pPr>
          <w:r>
            <w:rPr>
              <w:noProof/>
              <w:lang w:eastAsia="es-ES"/>
            </w:rPr>
            <w:drawing>
              <wp:inline distT="0" distB="0" distL="0" distR="0" wp14:anchorId="219033C6" wp14:editId="341EF265">
                <wp:extent cx="5445760" cy="2499360"/>
                <wp:effectExtent l="0" t="0" r="21590" b="1524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222AC" w:rsidRDefault="008222AC" w:rsidP="00DA6CCE">
          <w:pPr>
            <w:pStyle w:val="Prrafodelista"/>
            <w:ind w:left="567" w:right="-1" w:firstLine="142"/>
            <w:jc w:val="both"/>
            <w:rPr>
              <w:b/>
              <w:sz w:val="24"/>
              <w:szCs w:val="24"/>
            </w:rPr>
          </w:pPr>
        </w:p>
        <w:p w:rsidR="00BB78C6" w:rsidRDefault="00BB78C6" w:rsidP="00DA6CCE">
          <w:pPr>
            <w:pStyle w:val="Prrafodelista"/>
            <w:ind w:left="567" w:right="-1" w:firstLine="142"/>
            <w:jc w:val="both"/>
            <w:rPr>
              <w:b/>
              <w:sz w:val="24"/>
              <w:szCs w:val="24"/>
            </w:rPr>
          </w:pPr>
        </w:p>
        <w:p w:rsidR="00482A0A" w:rsidRPr="008E7AAF" w:rsidRDefault="00482A0A" w:rsidP="008E7AAF">
          <w:pPr>
            <w:ind w:right="-1"/>
            <w:jc w:val="both"/>
            <w:rPr>
              <w:b/>
              <w:sz w:val="24"/>
              <w:szCs w:val="24"/>
            </w:rPr>
          </w:pPr>
        </w:p>
        <w:p w:rsidR="00906EF5" w:rsidRPr="00DA0DF8" w:rsidRDefault="00906EF5" w:rsidP="00DA6CCE">
          <w:pPr>
            <w:pStyle w:val="Prrafodelista"/>
            <w:numPr>
              <w:ilvl w:val="0"/>
              <w:numId w:val="1"/>
            </w:numPr>
            <w:jc w:val="both"/>
            <w:rPr>
              <w:b/>
              <w:sz w:val="24"/>
              <w:szCs w:val="24"/>
            </w:rPr>
          </w:pPr>
          <w:r w:rsidRPr="00DA0DF8">
            <w:rPr>
              <w:b/>
              <w:sz w:val="24"/>
              <w:szCs w:val="24"/>
            </w:rPr>
            <w:lastRenderedPageBreak/>
            <w:t>Tasas e indicadores:</w:t>
          </w:r>
        </w:p>
        <w:tbl>
          <w:tblPr>
            <w:tblStyle w:val="Sombreadomedio1-nfasis4"/>
            <w:tblW w:w="7720" w:type="dxa"/>
            <w:jc w:val="center"/>
            <w:tblLook w:val="04A0" w:firstRow="1" w:lastRow="0" w:firstColumn="1" w:lastColumn="0" w:noHBand="0" w:noVBand="1"/>
          </w:tblPr>
          <w:tblGrid>
            <w:gridCol w:w="2500"/>
            <w:gridCol w:w="2420"/>
            <w:gridCol w:w="2800"/>
          </w:tblGrid>
          <w:tr w:rsidR="00482A0A" w:rsidRPr="00482A0A" w:rsidTr="00482A0A">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482A0A" w:rsidRPr="00482A0A" w:rsidRDefault="00482A0A" w:rsidP="00482A0A">
                <w:pPr>
                  <w:jc w:val="center"/>
                  <w:rPr>
                    <w:rFonts w:eastAsia="Times New Roman" w:cs="Times New Roman"/>
                    <w:sz w:val="20"/>
                    <w:szCs w:val="20"/>
                    <w:lang w:eastAsia="es-ES"/>
                  </w:rPr>
                </w:pPr>
                <w:r w:rsidRPr="00482A0A">
                  <w:rPr>
                    <w:rFonts w:eastAsia="Times New Roman" w:cs="Times New Roman"/>
                    <w:sz w:val="20"/>
                    <w:szCs w:val="20"/>
                    <w:lang w:eastAsia="es-ES"/>
                  </w:rPr>
                  <w:t>Tasa de masculinidad</w:t>
                </w:r>
              </w:p>
            </w:tc>
            <w:tc>
              <w:tcPr>
                <w:tcW w:w="2420" w:type="dxa"/>
                <w:vMerge w:val="restart"/>
                <w:noWrap/>
                <w:hideMark/>
              </w:tcPr>
              <w:p w:rsidR="00482A0A" w:rsidRPr="00482A0A" w:rsidRDefault="00482A0A" w:rsidP="00482A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482A0A">
                  <w:rPr>
                    <w:rFonts w:eastAsia="Times New Roman" w:cs="Times New Roman"/>
                    <w:sz w:val="20"/>
                    <w:szCs w:val="20"/>
                    <w:lang w:eastAsia="es-ES"/>
                  </w:rPr>
                  <w:t>Aragón</w:t>
                </w:r>
              </w:p>
            </w:tc>
            <w:tc>
              <w:tcPr>
                <w:tcW w:w="2800" w:type="dxa"/>
                <w:vMerge w:val="restart"/>
                <w:noWrap/>
                <w:hideMark/>
              </w:tcPr>
              <w:p w:rsidR="00482A0A" w:rsidRPr="00482A0A" w:rsidRDefault="00482A0A" w:rsidP="00482A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482A0A">
                  <w:rPr>
                    <w:rFonts w:eastAsia="Times New Roman" w:cs="Times New Roman"/>
                    <w:sz w:val="20"/>
                    <w:szCs w:val="20"/>
                    <w:lang w:eastAsia="es-ES"/>
                  </w:rPr>
                  <w:t>GAL</w:t>
                </w:r>
              </w:p>
            </w:tc>
          </w:tr>
          <w:tr w:rsidR="00482A0A" w:rsidRPr="00482A0A" w:rsidTr="00482A0A">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482A0A" w:rsidRPr="00482A0A" w:rsidRDefault="00482A0A" w:rsidP="00482A0A">
                <w:pPr>
                  <w:rPr>
                    <w:rFonts w:eastAsia="Times New Roman" w:cs="Times New Roman"/>
                    <w:sz w:val="20"/>
                    <w:szCs w:val="20"/>
                    <w:lang w:eastAsia="es-ES"/>
                  </w:rPr>
                </w:pPr>
              </w:p>
            </w:tc>
            <w:tc>
              <w:tcPr>
                <w:tcW w:w="2420" w:type="dxa"/>
                <w:vMerge/>
                <w:hideMark/>
              </w:tcPr>
              <w:p w:rsidR="00482A0A" w:rsidRPr="00482A0A" w:rsidRDefault="00482A0A" w:rsidP="00482A0A">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482A0A" w:rsidRPr="00482A0A" w:rsidRDefault="00482A0A" w:rsidP="00482A0A">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482A0A" w:rsidRPr="00482A0A" w:rsidTr="00482A0A">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482A0A" w:rsidRPr="00482A0A" w:rsidRDefault="00482A0A" w:rsidP="00482A0A">
                <w:pPr>
                  <w:rPr>
                    <w:rFonts w:eastAsia="Times New Roman" w:cs="Times New Roman"/>
                    <w:sz w:val="20"/>
                    <w:szCs w:val="20"/>
                    <w:lang w:eastAsia="es-ES"/>
                  </w:rPr>
                </w:pPr>
              </w:p>
            </w:tc>
            <w:tc>
              <w:tcPr>
                <w:tcW w:w="2420" w:type="dxa"/>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82A0A">
                  <w:rPr>
                    <w:rFonts w:eastAsia="Times New Roman" w:cs="Times New Roman"/>
                    <w:b/>
                    <w:bCs/>
                    <w:sz w:val="20"/>
                    <w:szCs w:val="20"/>
                    <w:lang w:eastAsia="es-ES"/>
                  </w:rPr>
                  <w:t>98,94%</w:t>
                </w:r>
              </w:p>
            </w:tc>
            <w:tc>
              <w:tcPr>
                <w:tcW w:w="2800" w:type="dxa"/>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82A0A">
                  <w:rPr>
                    <w:rFonts w:eastAsia="Times New Roman" w:cs="Times New Roman"/>
                    <w:b/>
                    <w:bCs/>
                    <w:sz w:val="20"/>
                    <w:szCs w:val="20"/>
                    <w:lang w:eastAsia="es-ES"/>
                  </w:rPr>
                  <w:t>103,50%</w:t>
                </w:r>
              </w:p>
            </w:tc>
          </w:tr>
          <w:tr w:rsidR="00482A0A" w:rsidRPr="00482A0A" w:rsidTr="00482A0A">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482A0A" w:rsidRPr="00482A0A" w:rsidRDefault="00482A0A" w:rsidP="00482A0A">
                <w:pPr>
                  <w:jc w:val="center"/>
                  <w:rPr>
                    <w:rFonts w:eastAsia="Times New Roman" w:cs="Times New Roman"/>
                    <w:sz w:val="20"/>
                    <w:szCs w:val="20"/>
                    <w:lang w:eastAsia="es-ES"/>
                  </w:rPr>
                </w:pPr>
                <w:r w:rsidRPr="00482A0A">
                  <w:rPr>
                    <w:rFonts w:eastAsia="Times New Roman" w:cs="Times New Roman"/>
                    <w:sz w:val="20"/>
                    <w:szCs w:val="20"/>
                    <w:lang w:eastAsia="es-ES"/>
                  </w:rPr>
                  <w:t>(número de varones dividido entre número de mujeres</w:t>
                </w:r>
              </w:p>
            </w:tc>
            <w:tc>
              <w:tcPr>
                <w:tcW w:w="2420" w:type="dxa"/>
                <w:noWrap/>
                <w:hideMark/>
              </w:tcPr>
              <w:p w:rsidR="00482A0A" w:rsidRPr="00482A0A" w:rsidRDefault="00482A0A" w:rsidP="00482A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482A0A" w:rsidRPr="00482A0A" w:rsidRDefault="00482A0A" w:rsidP="00482A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482A0A" w:rsidRPr="00482A0A" w:rsidTr="00482A0A">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482A0A" w:rsidRPr="00482A0A" w:rsidRDefault="00482A0A" w:rsidP="00482A0A">
                <w:pPr>
                  <w:jc w:val="center"/>
                  <w:rPr>
                    <w:rFonts w:eastAsia="Times New Roman" w:cs="Times New Roman"/>
                    <w:sz w:val="20"/>
                    <w:szCs w:val="20"/>
                    <w:lang w:eastAsia="es-ES"/>
                  </w:rPr>
                </w:pPr>
              </w:p>
            </w:tc>
            <w:tc>
              <w:tcPr>
                <w:tcW w:w="2420" w:type="dxa"/>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482A0A" w:rsidRPr="00482A0A" w:rsidTr="00482A0A">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482A0A" w:rsidRPr="00482A0A" w:rsidRDefault="00482A0A" w:rsidP="00482A0A">
                <w:pPr>
                  <w:jc w:val="center"/>
                  <w:rPr>
                    <w:rFonts w:eastAsia="Times New Roman" w:cs="Times New Roman"/>
                    <w:sz w:val="20"/>
                    <w:szCs w:val="20"/>
                    <w:lang w:eastAsia="es-ES"/>
                  </w:rPr>
                </w:pPr>
                <w:r w:rsidRPr="00482A0A">
                  <w:rPr>
                    <w:rFonts w:eastAsia="Times New Roman" w:cs="Times New Roman"/>
                    <w:sz w:val="20"/>
                    <w:szCs w:val="20"/>
                    <w:lang w:eastAsia="es-ES"/>
                  </w:rPr>
                  <w:t>Índice de maternidad</w:t>
                </w:r>
              </w:p>
            </w:tc>
            <w:tc>
              <w:tcPr>
                <w:tcW w:w="2420" w:type="dxa"/>
                <w:vMerge w:val="restart"/>
                <w:noWrap/>
                <w:hideMark/>
              </w:tcPr>
              <w:p w:rsidR="00482A0A" w:rsidRPr="00482A0A" w:rsidRDefault="00482A0A" w:rsidP="00482A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482A0A">
                  <w:rPr>
                    <w:rFonts w:eastAsia="Times New Roman" w:cs="Times New Roman"/>
                    <w:b/>
                    <w:bCs/>
                    <w:sz w:val="20"/>
                    <w:szCs w:val="20"/>
                    <w:lang w:eastAsia="es-ES"/>
                  </w:rPr>
                  <w:t>Aragón</w:t>
                </w:r>
              </w:p>
            </w:tc>
            <w:tc>
              <w:tcPr>
                <w:tcW w:w="2800" w:type="dxa"/>
                <w:vMerge w:val="restart"/>
                <w:noWrap/>
                <w:hideMark/>
              </w:tcPr>
              <w:p w:rsidR="00482A0A" w:rsidRPr="00482A0A" w:rsidRDefault="00482A0A" w:rsidP="00482A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482A0A">
                  <w:rPr>
                    <w:rFonts w:eastAsia="Times New Roman" w:cs="Times New Roman"/>
                    <w:b/>
                    <w:bCs/>
                    <w:sz w:val="20"/>
                    <w:szCs w:val="20"/>
                    <w:lang w:eastAsia="es-ES"/>
                  </w:rPr>
                  <w:t>GAL</w:t>
                </w:r>
              </w:p>
            </w:tc>
          </w:tr>
          <w:tr w:rsidR="00482A0A" w:rsidRPr="00482A0A" w:rsidTr="00482A0A">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482A0A" w:rsidRPr="00482A0A" w:rsidRDefault="00482A0A" w:rsidP="00482A0A">
                <w:pPr>
                  <w:rPr>
                    <w:rFonts w:eastAsia="Times New Roman" w:cs="Times New Roman"/>
                    <w:sz w:val="20"/>
                    <w:szCs w:val="20"/>
                    <w:lang w:eastAsia="es-ES"/>
                  </w:rPr>
                </w:pPr>
              </w:p>
            </w:tc>
            <w:tc>
              <w:tcPr>
                <w:tcW w:w="2420" w:type="dxa"/>
                <w:vMerge/>
                <w:hideMark/>
              </w:tcPr>
              <w:p w:rsidR="00482A0A" w:rsidRPr="00482A0A" w:rsidRDefault="00482A0A" w:rsidP="00482A0A">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c>
              <w:tcPr>
                <w:tcW w:w="2800" w:type="dxa"/>
                <w:vMerge/>
                <w:hideMark/>
              </w:tcPr>
              <w:p w:rsidR="00482A0A" w:rsidRPr="00482A0A" w:rsidRDefault="00482A0A" w:rsidP="00482A0A">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r>
          <w:tr w:rsidR="00482A0A" w:rsidRPr="00482A0A" w:rsidTr="00482A0A">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482A0A" w:rsidRPr="00482A0A" w:rsidRDefault="00482A0A" w:rsidP="00482A0A">
                <w:pPr>
                  <w:rPr>
                    <w:rFonts w:eastAsia="Times New Roman" w:cs="Times New Roman"/>
                    <w:sz w:val="20"/>
                    <w:szCs w:val="20"/>
                    <w:lang w:eastAsia="es-ES"/>
                  </w:rPr>
                </w:pPr>
              </w:p>
            </w:tc>
            <w:tc>
              <w:tcPr>
                <w:tcW w:w="2420" w:type="dxa"/>
                <w:noWrap/>
                <w:hideMark/>
              </w:tcPr>
              <w:p w:rsidR="00482A0A" w:rsidRPr="00482A0A" w:rsidRDefault="00482A0A" w:rsidP="00482A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482A0A">
                  <w:rPr>
                    <w:rFonts w:eastAsia="Times New Roman" w:cs="Times New Roman"/>
                    <w:b/>
                    <w:bCs/>
                    <w:sz w:val="20"/>
                    <w:szCs w:val="20"/>
                    <w:lang w:eastAsia="es-ES"/>
                  </w:rPr>
                  <w:t>20,92%</w:t>
                </w:r>
              </w:p>
            </w:tc>
            <w:tc>
              <w:tcPr>
                <w:tcW w:w="2800" w:type="dxa"/>
                <w:noWrap/>
                <w:hideMark/>
              </w:tcPr>
              <w:p w:rsidR="00482A0A" w:rsidRPr="00482A0A" w:rsidRDefault="00482A0A" w:rsidP="00482A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482A0A">
                  <w:rPr>
                    <w:rFonts w:eastAsia="Times New Roman" w:cs="Times New Roman"/>
                    <w:b/>
                    <w:bCs/>
                    <w:sz w:val="20"/>
                    <w:szCs w:val="20"/>
                    <w:lang w:eastAsia="es-ES"/>
                  </w:rPr>
                  <w:t>22,18%</w:t>
                </w:r>
              </w:p>
            </w:tc>
          </w:tr>
          <w:tr w:rsidR="00482A0A" w:rsidRPr="00482A0A" w:rsidTr="00482A0A">
            <w:trPr>
              <w:cnfStyle w:val="000000010000" w:firstRow="0" w:lastRow="0" w:firstColumn="0" w:lastColumn="0" w:oddVBand="0" w:evenVBand="0" w:oddHBand="0" w:evenHBand="1"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482A0A" w:rsidRPr="00482A0A" w:rsidRDefault="00482A0A" w:rsidP="00482A0A">
                <w:pPr>
                  <w:jc w:val="center"/>
                  <w:rPr>
                    <w:rFonts w:eastAsia="Times New Roman" w:cs="Times New Roman"/>
                    <w:sz w:val="20"/>
                    <w:szCs w:val="20"/>
                    <w:lang w:eastAsia="es-ES"/>
                  </w:rPr>
                </w:pPr>
                <w:r w:rsidRPr="00482A0A">
                  <w:rPr>
                    <w:rFonts w:eastAsia="Times New Roman" w:cs="Times New Roman"/>
                    <w:sz w:val="20"/>
                    <w:szCs w:val="20"/>
                    <w:lang w:eastAsia="es-ES"/>
                  </w:rPr>
                  <w:t>(número de niños de 0 a4 años entre mujeres de 15 a 49)</w:t>
                </w:r>
              </w:p>
            </w:tc>
            <w:tc>
              <w:tcPr>
                <w:tcW w:w="2420" w:type="dxa"/>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482A0A" w:rsidRPr="00482A0A" w:rsidTr="00482A0A">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482A0A" w:rsidRPr="00482A0A" w:rsidRDefault="00482A0A" w:rsidP="00482A0A">
                <w:pPr>
                  <w:jc w:val="center"/>
                  <w:rPr>
                    <w:rFonts w:eastAsia="Times New Roman" w:cs="Times New Roman"/>
                    <w:sz w:val="20"/>
                    <w:szCs w:val="20"/>
                    <w:lang w:eastAsia="es-ES"/>
                  </w:rPr>
                </w:pPr>
              </w:p>
            </w:tc>
            <w:tc>
              <w:tcPr>
                <w:tcW w:w="2420" w:type="dxa"/>
                <w:noWrap/>
                <w:hideMark/>
              </w:tcPr>
              <w:p w:rsidR="00482A0A" w:rsidRPr="00482A0A" w:rsidRDefault="00482A0A" w:rsidP="00482A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482A0A" w:rsidRPr="00482A0A" w:rsidRDefault="00482A0A" w:rsidP="00482A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482A0A" w:rsidRPr="00482A0A" w:rsidTr="00482A0A">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482A0A" w:rsidRPr="00482A0A" w:rsidRDefault="00482A0A" w:rsidP="00482A0A">
                <w:pPr>
                  <w:jc w:val="center"/>
                  <w:rPr>
                    <w:rFonts w:eastAsia="Times New Roman" w:cs="Times New Roman"/>
                    <w:sz w:val="20"/>
                    <w:szCs w:val="20"/>
                    <w:lang w:eastAsia="es-ES"/>
                  </w:rPr>
                </w:pPr>
                <w:r w:rsidRPr="00482A0A">
                  <w:rPr>
                    <w:rFonts w:eastAsia="Times New Roman" w:cs="Times New Roman"/>
                    <w:sz w:val="20"/>
                    <w:szCs w:val="20"/>
                    <w:lang w:eastAsia="es-ES"/>
                  </w:rPr>
                  <w:t>Índice de potencialidad</w:t>
                </w:r>
              </w:p>
            </w:tc>
            <w:tc>
              <w:tcPr>
                <w:tcW w:w="2420" w:type="dxa"/>
                <w:vMerge w:val="restart"/>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82A0A">
                  <w:rPr>
                    <w:rFonts w:eastAsia="Times New Roman" w:cs="Times New Roman"/>
                    <w:b/>
                    <w:bCs/>
                    <w:sz w:val="20"/>
                    <w:szCs w:val="20"/>
                    <w:lang w:eastAsia="es-ES"/>
                  </w:rPr>
                  <w:t>Aragón</w:t>
                </w:r>
              </w:p>
            </w:tc>
            <w:tc>
              <w:tcPr>
                <w:tcW w:w="2800" w:type="dxa"/>
                <w:vMerge w:val="restart"/>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82A0A">
                  <w:rPr>
                    <w:rFonts w:eastAsia="Times New Roman" w:cs="Times New Roman"/>
                    <w:b/>
                    <w:bCs/>
                    <w:sz w:val="20"/>
                    <w:szCs w:val="20"/>
                    <w:lang w:eastAsia="es-ES"/>
                  </w:rPr>
                  <w:t>GAL</w:t>
                </w:r>
              </w:p>
            </w:tc>
          </w:tr>
          <w:tr w:rsidR="00482A0A" w:rsidRPr="00482A0A" w:rsidTr="00482A0A">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482A0A" w:rsidRPr="00482A0A" w:rsidRDefault="00482A0A" w:rsidP="00482A0A">
                <w:pPr>
                  <w:rPr>
                    <w:rFonts w:eastAsia="Times New Roman" w:cs="Times New Roman"/>
                    <w:sz w:val="20"/>
                    <w:szCs w:val="20"/>
                    <w:lang w:eastAsia="es-ES"/>
                  </w:rPr>
                </w:pPr>
              </w:p>
            </w:tc>
            <w:tc>
              <w:tcPr>
                <w:tcW w:w="2420" w:type="dxa"/>
                <w:vMerge/>
                <w:hideMark/>
              </w:tcPr>
              <w:p w:rsidR="00482A0A" w:rsidRPr="00482A0A" w:rsidRDefault="00482A0A" w:rsidP="00482A0A">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482A0A" w:rsidRPr="00482A0A" w:rsidRDefault="00482A0A" w:rsidP="00482A0A">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482A0A" w:rsidRPr="00482A0A" w:rsidTr="00482A0A">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482A0A" w:rsidRPr="00482A0A" w:rsidRDefault="00482A0A" w:rsidP="00482A0A">
                <w:pPr>
                  <w:rPr>
                    <w:rFonts w:eastAsia="Times New Roman" w:cs="Times New Roman"/>
                    <w:sz w:val="20"/>
                    <w:szCs w:val="20"/>
                    <w:lang w:eastAsia="es-ES"/>
                  </w:rPr>
                </w:pPr>
              </w:p>
            </w:tc>
            <w:tc>
              <w:tcPr>
                <w:tcW w:w="2420" w:type="dxa"/>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82A0A">
                  <w:rPr>
                    <w:rFonts w:eastAsia="Times New Roman" w:cs="Times New Roman"/>
                    <w:b/>
                    <w:bCs/>
                    <w:sz w:val="20"/>
                    <w:szCs w:val="20"/>
                    <w:lang w:eastAsia="es-ES"/>
                  </w:rPr>
                  <w:t>77,01%</w:t>
                </w:r>
              </w:p>
            </w:tc>
            <w:tc>
              <w:tcPr>
                <w:tcW w:w="2800" w:type="dxa"/>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82A0A">
                  <w:rPr>
                    <w:rFonts w:eastAsia="Times New Roman" w:cs="Times New Roman"/>
                    <w:b/>
                    <w:bCs/>
                    <w:sz w:val="20"/>
                    <w:szCs w:val="20"/>
                    <w:lang w:eastAsia="es-ES"/>
                  </w:rPr>
                  <w:t>82,70%</w:t>
                </w:r>
              </w:p>
            </w:tc>
          </w:tr>
          <w:tr w:rsidR="00482A0A" w:rsidRPr="00482A0A" w:rsidTr="00482A0A">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482A0A" w:rsidRPr="00482A0A" w:rsidRDefault="00482A0A" w:rsidP="00482A0A">
                <w:pPr>
                  <w:jc w:val="center"/>
                  <w:rPr>
                    <w:rFonts w:eastAsia="Times New Roman" w:cs="Times New Roman"/>
                    <w:sz w:val="20"/>
                    <w:szCs w:val="20"/>
                    <w:lang w:eastAsia="es-ES"/>
                  </w:rPr>
                </w:pPr>
                <w:r w:rsidRPr="00482A0A">
                  <w:rPr>
                    <w:rFonts w:eastAsia="Times New Roman" w:cs="Times New Roman"/>
                    <w:sz w:val="20"/>
                    <w:szCs w:val="20"/>
                    <w:lang w:eastAsia="es-ES"/>
                  </w:rPr>
                  <w:t>(número mujeres de 20 a 34 entre mujeres de 35 a 49)</w:t>
                </w:r>
              </w:p>
            </w:tc>
            <w:tc>
              <w:tcPr>
                <w:tcW w:w="2420" w:type="dxa"/>
                <w:noWrap/>
                <w:hideMark/>
              </w:tcPr>
              <w:p w:rsidR="00482A0A" w:rsidRPr="00482A0A" w:rsidRDefault="00482A0A" w:rsidP="00482A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482A0A" w:rsidRPr="00482A0A" w:rsidRDefault="00482A0A" w:rsidP="00482A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482A0A" w:rsidRPr="00482A0A" w:rsidTr="00482A0A">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482A0A" w:rsidRPr="00482A0A" w:rsidRDefault="00482A0A" w:rsidP="00482A0A">
                <w:pPr>
                  <w:jc w:val="center"/>
                  <w:rPr>
                    <w:rFonts w:eastAsia="Times New Roman" w:cs="Times New Roman"/>
                    <w:sz w:val="20"/>
                    <w:szCs w:val="20"/>
                    <w:lang w:eastAsia="es-ES"/>
                  </w:rPr>
                </w:pPr>
              </w:p>
            </w:tc>
            <w:tc>
              <w:tcPr>
                <w:tcW w:w="2420" w:type="dxa"/>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482A0A" w:rsidRPr="00482A0A" w:rsidTr="00482A0A">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482A0A" w:rsidRPr="00482A0A" w:rsidRDefault="00482A0A" w:rsidP="00482A0A">
                <w:pPr>
                  <w:jc w:val="center"/>
                  <w:rPr>
                    <w:rFonts w:eastAsia="Times New Roman" w:cs="Times New Roman"/>
                    <w:sz w:val="20"/>
                    <w:szCs w:val="20"/>
                    <w:lang w:eastAsia="es-ES"/>
                  </w:rPr>
                </w:pPr>
              </w:p>
            </w:tc>
            <w:tc>
              <w:tcPr>
                <w:tcW w:w="2420" w:type="dxa"/>
                <w:noWrap/>
                <w:hideMark/>
              </w:tcPr>
              <w:p w:rsidR="00482A0A" w:rsidRPr="00482A0A" w:rsidRDefault="00482A0A" w:rsidP="00482A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482A0A" w:rsidRPr="00482A0A" w:rsidRDefault="00482A0A" w:rsidP="00482A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482A0A" w:rsidRPr="00482A0A" w:rsidTr="00482A0A">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482A0A" w:rsidRPr="00482A0A" w:rsidRDefault="00482A0A" w:rsidP="00482A0A">
                <w:pPr>
                  <w:jc w:val="center"/>
                  <w:rPr>
                    <w:rFonts w:eastAsia="Times New Roman" w:cs="Times New Roman"/>
                    <w:sz w:val="20"/>
                    <w:szCs w:val="20"/>
                    <w:lang w:eastAsia="es-ES"/>
                  </w:rPr>
                </w:pPr>
                <w:r w:rsidRPr="00482A0A">
                  <w:rPr>
                    <w:rFonts w:eastAsia="Times New Roman" w:cs="Times New Roman"/>
                    <w:sz w:val="20"/>
                    <w:szCs w:val="20"/>
                    <w:lang w:eastAsia="es-ES"/>
                  </w:rPr>
                  <w:t xml:space="preserve">Coeficiente de </w:t>
                </w:r>
                <w:proofErr w:type="spellStart"/>
                <w:r w:rsidRPr="00482A0A">
                  <w:rPr>
                    <w:rFonts w:eastAsia="Times New Roman" w:cs="Times New Roman"/>
                    <w:sz w:val="20"/>
                    <w:szCs w:val="20"/>
                    <w:lang w:eastAsia="es-ES"/>
                  </w:rPr>
                  <w:t>sustitucion</w:t>
                </w:r>
                <w:proofErr w:type="spellEnd"/>
              </w:p>
            </w:tc>
            <w:tc>
              <w:tcPr>
                <w:tcW w:w="2420" w:type="dxa"/>
                <w:vMerge w:val="restart"/>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82A0A">
                  <w:rPr>
                    <w:rFonts w:eastAsia="Times New Roman" w:cs="Times New Roman"/>
                    <w:b/>
                    <w:bCs/>
                    <w:sz w:val="20"/>
                    <w:szCs w:val="20"/>
                    <w:lang w:eastAsia="es-ES"/>
                  </w:rPr>
                  <w:t>Aragón</w:t>
                </w:r>
              </w:p>
            </w:tc>
            <w:tc>
              <w:tcPr>
                <w:tcW w:w="2800" w:type="dxa"/>
                <w:vMerge w:val="restart"/>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82A0A">
                  <w:rPr>
                    <w:rFonts w:eastAsia="Times New Roman" w:cs="Times New Roman"/>
                    <w:b/>
                    <w:bCs/>
                    <w:sz w:val="20"/>
                    <w:szCs w:val="20"/>
                    <w:lang w:eastAsia="es-ES"/>
                  </w:rPr>
                  <w:t>GAL</w:t>
                </w:r>
              </w:p>
            </w:tc>
          </w:tr>
          <w:tr w:rsidR="00482A0A" w:rsidRPr="00482A0A" w:rsidTr="00482A0A">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482A0A" w:rsidRPr="00482A0A" w:rsidRDefault="00482A0A" w:rsidP="00482A0A">
                <w:pPr>
                  <w:rPr>
                    <w:rFonts w:eastAsia="Times New Roman" w:cs="Times New Roman"/>
                    <w:sz w:val="20"/>
                    <w:szCs w:val="20"/>
                    <w:lang w:eastAsia="es-ES"/>
                  </w:rPr>
                </w:pPr>
              </w:p>
            </w:tc>
            <w:tc>
              <w:tcPr>
                <w:tcW w:w="2420" w:type="dxa"/>
                <w:vMerge/>
                <w:hideMark/>
              </w:tcPr>
              <w:p w:rsidR="00482A0A" w:rsidRPr="00482A0A" w:rsidRDefault="00482A0A" w:rsidP="00482A0A">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482A0A" w:rsidRPr="00482A0A" w:rsidRDefault="00482A0A" w:rsidP="00482A0A">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482A0A" w:rsidRPr="00482A0A" w:rsidTr="00482A0A">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482A0A" w:rsidRPr="00482A0A" w:rsidRDefault="00482A0A" w:rsidP="00482A0A">
                <w:pPr>
                  <w:rPr>
                    <w:rFonts w:eastAsia="Times New Roman" w:cs="Times New Roman"/>
                    <w:sz w:val="20"/>
                    <w:szCs w:val="20"/>
                    <w:lang w:eastAsia="es-ES"/>
                  </w:rPr>
                </w:pPr>
              </w:p>
            </w:tc>
            <w:tc>
              <w:tcPr>
                <w:tcW w:w="2420" w:type="dxa"/>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82A0A">
                  <w:rPr>
                    <w:rFonts w:eastAsia="Times New Roman" w:cs="Times New Roman"/>
                    <w:b/>
                    <w:bCs/>
                    <w:sz w:val="20"/>
                    <w:szCs w:val="20"/>
                    <w:lang w:eastAsia="es-ES"/>
                  </w:rPr>
                  <w:t>80,06%</w:t>
                </w:r>
              </w:p>
            </w:tc>
            <w:tc>
              <w:tcPr>
                <w:tcW w:w="2800" w:type="dxa"/>
                <w:noWrap/>
                <w:hideMark/>
              </w:tcPr>
              <w:p w:rsidR="00482A0A" w:rsidRPr="00482A0A" w:rsidRDefault="00482A0A" w:rsidP="00482A0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82A0A">
                  <w:rPr>
                    <w:rFonts w:eastAsia="Times New Roman" w:cs="Times New Roman"/>
                    <w:b/>
                    <w:bCs/>
                    <w:sz w:val="20"/>
                    <w:szCs w:val="20"/>
                    <w:lang w:eastAsia="es-ES"/>
                  </w:rPr>
                  <w:t>87,70%</w:t>
                </w:r>
              </w:p>
            </w:tc>
          </w:tr>
          <w:tr w:rsidR="00482A0A" w:rsidRPr="00482A0A" w:rsidTr="00482A0A">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482A0A" w:rsidRPr="00482A0A" w:rsidRDefault="00482A0A" w:rsidP="00482A0A">
                <w:pPr>
                  <w:jc w:val="center"/>
                  <w:rPr>
                    <w:rFonts w:eastAsia="Times New Roman" w:cs="Times New Roman"/>
                    <w:sz w:val="20"/>
                    <w:szCs w:val="20"/>
                    <w:lang w:eastAsia="es-ES"/>
                  </w:rPr>
                </w:pPr>
                <w:r w:rsidRPr="00482A0A">
                  <w:rPr>
                    <w:rFonts w:eastAsia="Times New Roman" w:cs="Times New Roman"/>
                    <w:sz w:val="20"/>
                    <w:szCs w:val="20"/>
                    <w:lang w:eastAsia="es-ES"/>
                  </w:rPr>
                  <w:t>(número de personas de 10 a 14 años entre personas de 60 a 64 años)</w:t>
                </w:r>
              </w:p>
            </w:tc>
            <w:tc>
              <w:tcPr>
                <w:tcW w:w="2420" w:type="dxa"/>
                <w:noWrap/>
                <w:hideMark/>
              </w:tcPr>
              <w:p w:rsidR="00482A0A" w:rsidRPr="00482A0A" w:rsidRDefault="00482A0A" w:rsidP="00482A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482A0A" w:rsidRPr="00482A0A" w:rsidRDefault="00482A0A" w:rsidP="00482A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bl>
        <w:p w:rsidR="00EE4D4D" w:rsidRPr="00974B32" w:rsidRDefault="00EE4D4D" w:rsidP="00DA6CCE">
          <w:pPr>
            <w:jc w:val="both"/>
            <w:rPr>
              <w:b/>
              <w:sz w:val="24"/>
              <w:szCs w:val="24"/>
            </w:rPr>
          </w:pPr>
        </w:p>
        <w:p w:rsidR="000E24E8" w:rsidRPr="000E24E8" w:rsidRDefault="000E24E8" w:rsidP="00DA6CCE">
          <w:pPr>
            <w:pStyle w:val="Prrafodelista"/>
            <w:numPr>
              <w:ilvl w:val="0"/>
              <w:numId w:val="1"/>
            </w:numPr>
            <w:jc w:val="both"/>
            <w:rPr>
              <w:b/>
              <w:sz w:val="24"/>
              <w:szCs w:val="24"/>
            </w:rPr>
          </w:pPr>
          <w:r>
            <w:rPr>
              <w:b/>
              <w:sz w:val="24"/>
              <w:szCs w:val="24"/>
            </w:rPr>
            <w:t>Movimientos de población.</w:t>
          </w:r>
        </w:p>
        <w:p w:rsidR="000E24E8" w:rsidRDefault="000E24E8" w:rsidP="00DA6CCE">
          <w:pPr>
            <w:pStyle w:val="Prrafodelista"/>
            <w:numPr>
              <w:ilvl w:val="0"/>
              <w:numId w:val="11"/>
            </w:numPr>
            <w:jc w:val="both"/>
            <w:rPr>
              <w:b/>
              <w:sz w:val="24"/>
              <w:szCs w:val="24"/>
            </w:rPr>
          </w:pPr>
          <w:r w:rsidRPr="000E24E8">
            <w:rPr>
              <w:b/>
              <w:sz w:val="24"/>
              <w:szCs w:val="24"/>
            </w:rPr>
            <w:t>Evolución de los nacimientos (2007-2012):</w:t>
          </w:r>
        </w:p>
        <w:p w:rsidR="008222AC" w:rsidRDefault="00482A0A" w:rsidP="00BB78C6">
          <w:pPr>
            <w:ind w:left="142"/>
            <w:jc w:val="both"/>
            <w:rPr>
              <w:b/>
              <w:sz w:val="24"/>
              <w:szCs w:val="24"/>
            </w:rPr>
          </w:pPr>
          <w:r>
            <w:rPr>
              <w:noProof/>
              <w:lang w:eastAsia="es-ES"/>
            </w:rPr>
            <w:drawing>
              <wp:inline distT="0" distB="0" distL="0" distR="0" wp14:anchorId="2245E0C3" wp14:editId="6DCC6B09">
                <wp:extent cx="5400040" cy="2668859"/>
                <wp:effectExtent l="0" t="0" r="10160" b="1778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33934" w:rsidRPr="00974B32" w:rsidRDefault="00A33934" w:rsidP="00BB78C6">
          <w:pPr>
            <w:ind w:left="142"/>
            <w:jc w:val="both"/>
            <w:rPr>
              <w:b/>
              <w:sz w:val="24"/>
              <w:szCs w:val="24"/>
            </w:rPr>
          </w:pPr>
        </w:p>
        <w:p w:rsidR="007344D7" w:rsidRPr="007344D7" w:rsidRDefault="00C6493A" w:rsidP="00DA6CCE">
          <w:pPr>
            <w:pStyle w:val="Prrafodelista"/>
            <w:numPr>
              <w:ilvl w:val="0"/>
              <w:numId w:val="1"/>
            </w:numPr>
            <w:jc w:val="both"/>
            <w:rPr>
              <w:b/>
              <w:sz w:val="24"/>
              <w:szCs w:val="24"/>
            </w:rPr>
          </w:pPr>
          <w:r w:rsidRPr="00C6493A">
            <w:rPr>
              <w:b/>
              <w:sz w:val="24"/>
              <w:szCs w:val="24"/>
            </w:rPr>
            <w:lastRenderedPageBreak/>
            <w:t>Evolución de las defunciones (2006-2012):</w:t>
          </w:r>
        </w:p>
        <w:p w:rsidR="00B12E0D" w:rsidRDefault="00C011E9" w:rsidP="00FA17CC">
          <w:pPr>
            <w:pStyle w:val="Prrafodelista"/>
            <w:ind w:hanging="578"/>
            <w:jc w:val="both"/>
            <w:rPr>
              <w:b/>
              <w:sz w:val="24"/>
              <w:szCs w:val="24"/>
            </w:rPr>
          </w:pPr>
          <w:r>
            <w:rPr>
              <w:noProof/>
              <w:lang w:eastAsia="es-ES"/>
            </w:rPr>
            <w:drawing>
              <wp:inline distT="0" distB="0" distL="0" distR="0" wp14:anchorId="56331C13" wp14:editId="01C8DCA6">
                <wp:extent cx="5400040" cy="2409794"/>
                <wp:effectExtent l="0" t="0" r="10160" b="1016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44D7" w:rsidRPr="007344D7" w:rsidRDefault="007344D7" w:rsidP="00DA6CCE">
          <w:pPr>
            <w:pStyle w:val="Prrafodelista"/>
            <w:jc w:val="both"/>
            <w:rPr>
              <w:b/>
              <w:sz w:val="24"/>
              <w:szCs w:val="24"/>
            </w:rPr>
          </w:pPr>
        </w:p>
        <w:p w:rsidR="00B12E0D" w:rsidRPr="00B01298" w:rsidRDefault="00B50C23" w:rsidP="00DA6CCE">
          <w:pPr>
            <w:pStyle w:val="Prrafodelista"/>
            <w:numPr>
              <w:ilvl w:val="0"/>
              <w:numId w:val="1"/>
            </w:numPr>
            <w:jc w:val="both"/>
            <w:rPr>
              <w:b/>
              <w:sz w:val="24"/>
              <w:szCs w:val="24"/>
            </w:rPr>
          </w:pPr>
          <w:r w:rsidRPr="00B50C23">
            <w:rPr>
              <w:b/>
              <w:sz w:val="24"/>
              <w:szCs w:val="24"/>
            </w:rPr>
            <w:t>Movimientos de población según nacimientos, defunciones, saldo vegetativo, etc.</w:t>
          </w:r>
        </w:p>
        <w:tbl>
          <w:tblPr>
            <w:tblStyle w:val="Sombreadoclaro-nfasis4"/>
            <w:tblW w:w="9400" w:type="dxa"/>
            <w:tblLook w:val="04A0" w:firstRow="1" w:lastRow="0" w:firstColumn="1" w:lastColumn="0" w:noHBand="0" w:noVBand="1"/>
          </w:tblPr>
          <w:tblGrid>
            <w:gridCol w:w="3800"/>
            <w:gridCol w:w="1517"/>
            <w:gridCol w:w="1443"/>
            <w:gridCol w:w="1353"/>
            <w:gridCol w:w="1287"/>
          </w:tblGrid>
          <w:tr w:rsidR="00C011E9" w:rsidRPr="00C011E9" w:rsidTr="00C011E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C011E9" w:rsidRPr="00C011E9" w:rsidRDefault="00C011E9" w:rsidP="00C011E9">
                <w:pPr>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 </w:t>
                </w:r>
              </w:p>
            </w:tc>
            <w:tc>
              <w:tcPr>
                <w:tcW w:w="2960" w:type="dxa"/>
                <w:gridSpan w:val="2"/>
                <w:noWrap/>
                <w:hideMark/>
              </w:tcPr>
              <w:p w:rsidR="00C011E9" w:rsidRPr="00C011E9" w:rsidRDefault="00C011E9" w:rsidP="00C011E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2012</w:t>
                </w:r>
              </w:p>
            </w:tc>
            <w:tc>
              <w:tcPr>
                <w:tcW w:w="2640" w:type="dxa"/>
                <w:gridSpan w:val="2"/>
                <w:noWrap/>
                <w:hideMark/>
              </w:tcPr>
              <w:p w:rsidR="00C011E9" w:rsidRPr="00C011E9" w:rsidRDefault="00C011E9" w:rsidP="00C011E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2011</w:t>
                </w:r>
              </w:p>
            </w:tc>
          </w:tr>
          <w:tr w:rsidR="00C011E9" w:rsidRPr="00C011E9" w:rsidTr="00C011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C011E9" w:rsidRPr="00C011E9" w:rsidRDefault="00C011E9" w:rsidP="00C011E9">
                <w:pPr>
                  <w:rPr>
                    <w:rFonts w:ascii="Arial" w:eastAsia="Times New Roman" w:hAnsi="Arial" w:cs="Arial"/>
                    <w:sz w:val="16"/>
                    <w:szCs w:val="16"/>
                    <w:lang w:eastAsia="es-ES"/>
                  </w:rPr>
                </w:pPr>
                <w:r w:rsidRPr="00C011E9">
                  <w:rPr>
                    <w:rFonts w:ascii="Arial" w:eastAsia="Times New Roman" w:hAnsi="Arial" w:cs="Arial"/>
                    <w:sz w:val="16"/>
                    <w:szCs w:val="16"/>
                    <w:lang w:eastAsia="es-ES"/>
                  </w:rPr>
                  <w:t>Nacidos vivos por cada mil habitantes.</w:t>
                </w:r>
              </w:p>
            </w:tc>
            <w:tc>
              <w:tcPr>
                <w:tcW w:w="1517" w:type="dxa"/>
                <w:noWrap/>
                <w:hideMark/>
              </w:tcPr>
              <w:p w:rsidR="00C011E9" w:rsidRPr="00C011E9" w:rsidRDefault="00C011E9" w:rsidP="00C011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 xml:space="preserve">Aragón </w:t>
                </w:r>
              </w:p>
            </w:tc>
            <w:tc>
              <w:tcPr>
                <w:tcW w:w="1443" w:type="dxa"/>
                <w:noWrap/>
                <w:hideMark/>
              </w:tcPr>
              <w:p w:rsidR="00C011E9" w:rsidRPr="00C011E9" w:rsidRDefault="00C011E9" w:rsidP="00C011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GAL</w:t>
                </w:r>
              </w:p>
            </w:tc>
            <w:tc>
              <w:tcPr>
                <w:tcW w:w="1353" w:type="dxa"/>
                <w:noWrap/>
                <w:hideMark/>
              </w:tcPr>
              <w:p w:rsidR="00C011E9" w:rsidRPr="00C011E9" w:rsidRDefault="00C011E9" w:rsidP="00C011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 xml:space="preserve">Aragón </w:t>
                </w:r>
              </w:p>
            </w:tc>
            <w:tc>
              <w:tcPr>
                <w:tcW w:w="1287" w:type="dxa"/>
                <w:noWrap/>
                <w:hideMark/>
              </w:tcPr>
              <w:p w:rsidR="00C011E9" w:rsidRPr="00C011E9" w:rsidRDefault="00C011E9" w:rsidP="00C011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GAL</w:t>
                </w:r>
              </w:p>
            </w:tc>
          </w:tr>
          <w:tr w:rsidR="00C011E9" w:rsidRPr="00C011E9" w:rsidTr="00C011E9">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C011E9" w:rsidRPr="00C011E9" w:rsidRDefault="00C011E9" w:rsidP="00C011E9">
                <w:pPr>
                  <w:rPr>
                    <w:rFonts w:ascii="Arial" w:eastAsia="Times New Roman" w:hAnsi="Arial" w:cs="Arial"/>
                    <w:sz w:val="16"/>
                    <w:szCs w:val="16"/>
                    <w:lang w:eastAsia="es-ES"/>
                  </w:rPr>
                </w:pPr>
                <w:r w:rsidRPr="00C011E9">
                  <w:rPr>
                    <w:rFonts w:ascii="Arial" w:eastAsia="Times New Roman" w:hAnsi="Arial" w:cs="Arial"/>
                    <w:sz w:val="16"/>
                    <w:szCs w:val="16"/>
                    <w:lang w:eastAsia="es-ES"/>
                  </w:rPr>
                  <w:t>Tasa Bruta de Natalidad (‰).</w:t>
                </w:r>
              </w:p>
            </w:tc>
            <w:tc>
              <w:tcPr>
                <w:tcW w:w="1517" w:type="dxa"/>
                <w:noWrap/>
                <w:hideMark/>
              </w:tcPr>
              <w:p w:rsidR="00C011E9" w:rsidRPr="00C011E9" w:rsidRDefault="00C011E9" w:rsidP="00C011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8,878</w:t>
                </w:r>
              </w:p>
            </w:tc>
            <w:tc>
              <w:tcPr>
                <w:tcW w:w="1443" w:type="dxa"/>
                <w:noWrap/>
                <w:hideMark/>
              </w:tcPr>
              <w:p w:rsidR="00C011E9" w:rsidRPr="00C011E9" w:rsidRDefault="00C011E9" w:rsidP="00C011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8,915</w:t>
                </w:r>
              </w:p>
            </w:tc>
            <w:tc>
              <w:tcPr>
                <w:tcW w:w="1353" w:type="dxa"/>
                <w:noWrap/>
                <w:hideMark/>
              </w:tcPr>
              <w:p w:rsidR="00C011E9" w:rsidRPr="00C011E9" w:rsidRDefault="00C011E9" w:rsidP="00C011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9,366</w:t>
                </w:r>
              </w:p>
            </w:tc>
            <w:tc>
              <w:tcPr>
                <w:tcW w:w="1287" w:type="dxa"/>
                <w:noWrap/>
                <w:hideMark/>
              </w:tcPr>
              <w:p w:rsidR="00C011E9" w:rsidRPr="00C011E9" w:rsidRDefault="00C011E9" w:rsidP="00C011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9,247</w:t>
                </w:r>
              </w:p>
            </w:tc>
          </w:tr>
          <w:tr w:rsidR="00C011E9" w:rsidRPr="00C011E9" w:rsidTr="00C011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C011E9" w:rsidRPr="00C011E9" w:rsidRDefault="00C011E9" w:rsidP="00C011E9">
                <w:pPr>
                  <w:rPr>
                    <w:rFonts w:ascii="Calibri" w:eastAsia="Times New Roman" w:hAnsi="Calibri" w:cs="Times New Roman"/>
                    <w:color w:val="000000"/>
                    <w:lang w:eastAsia="es-ES"/>
                  </w:rPr>
                </w:pPr>
              </w:p>
            </w:tc>
            <w:tc>
              <w:tcPr>
                <w:tcW w:w="1517" w:type="dxa"/>
                <w:noWrap/>
                <w:hideMark/>
              </w:tcPr>
              <w:p w:rsidR="00C011E9" w:rsidRPr="00C011E9" w:rsidRDefault="00C011E9" w:rsidP="00C011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C011E9" w:rsidRPr="00C011E9" w:rsidRDefault="00C011E9" w:rsidP="00C011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C011E9" w:rsidRPr="00C011E9" w:rsidRDefault="00C011E9" w:rsidP="00C011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C011E9" w:rsidRPr="00C011E9" w:rsidRDefault="00C011E9" w:rsidP="00C011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C011E9" w:rsidRPr="00C011E9" w:rsidTr="00C011E9">
            <w:trPr>
              <w:trHeight w:val="300"/>
            </w:trPr>
            <w:tc>
              <w:tcPr>
                <w:cnfStyle w:val="001000000000" w:firstRow="0" w:lastRow="0" w:firstColumn="1" w:lastColumn="0" w:oddVBand="0" w:evenVBand="0" w:oddHBand="0" w:evenHBand="0" w:firstRowFirstColumn="0" w:firstRowLastColumn="0" w:lastRowFirstColumn="0" w:lastRowLastColumn="0"/>
                <w:tcW w:w="3800" w:type="dxa"/>
                <w:noWrap/>
                <w:hideMark/>
              </w:tcPr>
              <w:p w:rsidR="00C011E9" w:rsidRPr="00C011E9" w:rsidRDefault="00C011E9" w:rsidP="00C011E9">
                <w:pPr>
                  <w:rPr>
                    <w:rFonts w:ascii="Arial" w:eastAsia="Times New Roman" w:hAnsi="Arial" w:cs="Arial"/>
                    <w:sz w:val="16"/>
                    <w:szCs w:val="16"/>
                    <w:lang w:eastAsia="es-ES"/>
                  </w:rPr>
                </w:pPr>
                <w:r w:rsidRPr="00C011E9">
                  <w:rPr>
                    <w:rFonts w:ascii="Arial" w:eastAsia="Times New Roman" w:hAnsi="Arial" w:cs="Arial"/>
                    <w:sz w:val="16"/>
                    <w:szCs w:val="16"/>
                    <w:lang w:eastAsia="es-ES"/>
                  </w:rPr>
                  <w:t>Defunciones por cada mil habitantes.</w:t>
                </w:r>
              </w:p>
            </w:tc>
            <w:tc>
              <w:tcPr>
                <w:tcW w:w="1517" w:type="dxa"/>
                <w:noWrap/>
                <w:hideMark/>
              </w:tcPr>
              <w:p w:rsidR="00C011E9" w:rsidRPr="00C011E9" w:rsidRDefault="00C011E9" w:rsidP="00C011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 xml:space="preserve">Aragón </w:t>
                </w:r>
              </w:p>
            </w:tc>
            <w:tc>
              <w:tcPr>
                <w:tcW w:w="1443" w:type="dxa"/>
                <w:noWrap/>
                <w:hideMark/>
              </w:tcPr>
              <w:p w:rsidR="00C011E9" w:rsidRPr="00C011E9" w:rsidRDefault="00C011E9" w:rsidP="00C011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GAL</w:t>
                </w:r>
              </w:p>
            </w:tc>
            <w:tc>
              <w:tcPr>
                <w:tcW w:w="1353" w:type="dxa"/>
                <w:noWrap/>
                <w:hideMark/>
              </w:tcPr>
              <w:p w:rsidR="00C011E9" w:rsidRPr="00C011E9" w:rsidRDefault="00C011E9" w:rsidP="00C011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 xml:space="preserve">Aragón </w:t>
                </w:r>
              </w:p>
            </w:tc>
            <w:tc>
              <w:tcPr>
                <w:tcW w:w="1287" w:type="dxa"/>
                <w:noWrap/>
                <w:hideMark/>
              </w:tcPr>
              <w:p w:rsidR="00C011E9" w:rsidRPr="00C011E9" w:rsidRDefault="00C011E9" w:rsidP="00C011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GAL</w:t>
                </w:r>
              </w:p>
            </w:tc>
          </w:tr>
          <w:tr w:rsidR="00C011E9" w:rsidRPr="00C011E9" w:rsidTr="00C011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C011E9" w:rsidRPr="00C011E9" w:rsidRDefault="00C011E9" w:rsidP="00C011E9">
                <w:pPr>
                  <w:rPr>
                    <w:rFonts w:ascii="Arial" w:eastAsia="Times New Roman" w:hAnsi="Arial" w:cs="Arial"/>
                    <w:sz w:val="16"/>
                    <w:szCs w:val="16"/>
                    <w:lang w:eastAsia="es-ES"/>
                  </w:rPr>
                </w:pPr>
                <w:r w:rsidRPr="00C011E9">
                  <w:rPr>
                    <w:rFonts w:ascii="Arial" w:eastAsia="Times New Roman" w:hAnsi="Arial" w:cs="Arial"/>
                    <w:sz w:val="16"/>
                    <w:szCs w:val="16"/>
                    <w:lang w:eastAsia="es-ES"/>
                  </w:rPr>
                  <w:t>Tasa Bruta de Mortalidad (‰).</w:t>
                </w:r>
              </w:p>
            </w:tc>
            <w:tc>
              <w:tcPr>
                <w:tcW w:w="1517" w:type="dxa"/>
                <w:noWrap/>
                <w:hideMark/>
              </w:tcPr>
              <w:p w:rsidR="00C011E9" w:rsidRPr="00C011E9" w:rsidRDefault="00C011E9" w:rsidP="00C011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10,170</w:t>
                </w:r>
              </w:p>
            </w:tc>
            <w:tc>
              <w:tcPr>
                <w:tcW w:w="1443" w:type="dxa"/>
                <w:noWrap/>
                <w:hideMark/>
              </w:tcPr>
              <w:p w:rsidR="00C011E9" w:rsidRPr="00C011E9" w:rsidRDefault="00C011E9" w:rsidP="00C011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12,315</w:t>
                </w:r>
              </w:p>
            </w:tc>
            <w:tc>
              <w:tcPr>
                <w:tcW w:w="1353" w:type="dxa"/>
                <w:noWrap/>
                <w:hideMark/>
              </w:tcPr>
              <w:p w:rsidR="00C011E9" w:rsidRPr="00C011E9" w:rsidRDefault="00C011E9" w:rsidP="00C011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10,067</w:t>
                </w:r>
              </w:p>
            </w:tc>
            <w:tc>
              <w:tcPr>
                <w:tcW w:w="1287" w:type="dxa"/>
                <w:noWrap/>
                <w:hideMark/>
              </w:tcPr>
              <w:p w:rsidR="00C011E9" w:rsidRPr="00C011E9" w:rsidRDefault="00C011E9" w:rsidP="00C011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12,875</w:t>
                </w:r>
              </w:p>
            </w:tc>
          </w:tr>
          <w:tr w:rsidR="00C011E9" w:rsidRPr="00C011E9" w:rsidTr="00C011E9">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C011E9" w:rsidRPr="00C011E9" w:rsidRDefault="00C011E9" w:rsidP="00C011E9">
                <w:pPr>
                  <w:rPr>
                    <w:rFonts w:ascii="Calibri" w:eastAsia="Times New Roman" w:hAnsi="Calibri" w:cs="Times New Roman"/>
                    <w:color w:val="000000"/>
                    <w:lang w:eastAsia="es-ES"/>
                  </w:rPr>
                </w:pPr>
              </w:p>
            </w:tc>
            <w:tc>
              <w:tcPr>
                <w:tcW w:w="1517" w:type="dxa"/>
                <w:noWrap/>
                <w:hideMark/>
              </w:tcPr>
              <w:p w:rsidR="00C011E9" w:rsidRPr="00C011E9" w:rsidRDefault="00C011E9" w:rsidP="00C011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C011E9" w:rsidRPr="00C011E9" w:rsidRDefault="00C011E9" w:rsidP="00C011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C011E9" w:rsidRPr="00C011E9" w:rsidRDefault="00C011E9" w:rsidP="00C011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C011E9" w:rsidRPr="00C011E9" w:rsidRDefault="00C011E9" w:rsidP="00C011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r>
          <w:tr w:rsidR="00C011E9" w:rsidRPr="00C011E9" w:rsidTr="00C011E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00" w:type="dxa"/>
                <w:hideMark/>
              </w:tcPr>
              <w:p w:rsidR="00C011E9" w:rsidRPr="00C011E9" w:rsidRDefault="00C011E9" w:rsidP="00C011E9">
                <w:pPr>
                  <w:rPr>
                    <w:rFonts w:ascii="Arial" w:eastAsia="Times New Roman" w:hAnsi="Arial" w:cs="Arial"/>
                    <w:sz w:val="16"/>
                    <w:szCs w:val="16"/>
                    <w:lang w:eastAsia="es-ES"/>
                  </w:rPr>
                </w:pPr>
                <w:r w:rsidRPr="00C011E9">
                  <w:rPr>
                    <w:rFonts w:ascii="Arial" w:eastAsia="Times New Roman" w:hAnsi="Arial" w:cs="Arial"/>
                    <w:sz w:val="16"/>
                    <w:szCs w:val="16"/>
                    <w:lang w:eastAsia="es-ES"/>
                  </w:rPr>
                  <w:t>Saldo vegetativo (nacimientos menos defunciones) por cada mil habitantes.</w:t>
                </w:r>
              </w:p>
            </w:tc>
            <w:tc>
              <w:tcPr>
                <w:tcW w:w="1517" w:type="dxa"/>
                <w:noWrap/>
                <w:hideMark/>
              </w:tcPr>
              <w:p w:rsidR="00C011E9" w:rsidRPr="00C011E9" w:rsidRDefault="00C011E9" w:rsidP="00C011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 xml:space="preserve">Aragón </w:t>
                </w:r>
              </w:p>
            </w:tc>
            <w:tc>
              <w:tcPr>
                <w:tcW w:w="1443" w:type="dxa"/>
                <w:noWrap/>
                <w:hideMark/>
              </w:tcPr>
              <w:p w:rsidR="00C011E9" w:rsidRPr="00C011E9" w:rsidRDefault="00C011E9" w:rsidP="00C011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GAL</w:t>
                </w:r>
              </w:p>
            </w:tc>
            <w:tc>
              <w:tcPr>
                <w:tcW w:w="1353" w:type="dxa"/>
                <w:noWrap/>
                <w:hideMark/>
              </w:tcPr>
              <w:p w:rsidR="00C011E9" w:rsidRPr="00C011E9" w:rsidRDefault="00C011E9" w:rsidP="00C011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 xml:space="preserve">Aragón </w:t>
                </w:r>
              </w:p>
            </w:tc>
            <w:tc>
              <w:tcPr>
                <w:tcW w:w="1287" w:type="dxa"/>
                <w:noWrap/>
                <w:hideMark/>
              </w:tcPr>
              <w:p w:rsidR="00C011E9" w:rsidRPr="00C011E9" w:rsidRDefault="00C011E9" w:rsidP="00C011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GAL</w:t>
                </w:r>
              </w:p>
            </w:tc>
          </w:tr>
          <w:tr w:rsidR="00C011E9" w:rsidRPr="00C011E9" w:rsidTr="00C011E9">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C011E9" w:rsidRPr="00C011E9" w:rsidRDefault="00C011E9" w:rsidP="00C011E9">
                <w:pPr>
                  <w:rPr>
                    <w:rFonts w:ascii="Arial" w:eastAsia="Times New Roman" w:hAnsi="Arial" w:cs="Arial"/>
                    <w:sz w:val="16"/>
                    <w:szCs w:val="16"/>
                    <w:lang w:eastAsia="es-ES"/>
                  </w:rPr>
                </w:pPr>
                <w:r w:rsidRPr="00C011E9">
                  <w:rPr>
                    <w:rFonts w:ascii="Arial" w:eastAsia="Times New Roman" w:hAnsi="Arial" w:cs="Arial"/>
                    <w:sz w:val="16"/>
                    <w:szCs w:val="16"/>
                    <w:lang w:eastAsia="es-ES"/>
                  </w:rPr>
                  <w:t>Tasa Bruta de Crecimiento Vegetativo (‰)</w:t>
                </w:r>
              </w:p>
            </w:tc>
            <w:tc>
              <w:tcPr>
                <w:tcW w:w="1517" w:type="dxa"/>
                <w:noWrap/>
                <w:hideMark/>
              </w:tcPr>
              <w:p w:rsidR="00C011E9" w:rsidRPr="00C011E9" w:rsidRDefault="00C011E9" w:rsidP="00C011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-1,292</w:t>
                </w:r>
              </w:p>
            </w:tc>
            <w:tc>
              <w:tcPr>
                <w:tcW w:w="1443" w:type="dxa"/>
                <w:noWrap/>
                <w:hideMark/>
              </w:tcPr>
              <w:p w:rsidR="00C011E9" w:rsidRPr="00C011E9" w:rsidRDefault="00C011E9" w:rsidP="00C011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-3,401</w:t>
                </w:r>
              </w:p>
            </w:tc>
            <w:tc>
              <w:tcPr>
                <w:tcW w:w="1353" w:type="dxa"/>
                <w:noWrap/>
                <w:hideMark/>
              </w:tcPr>
              <w:p w:rsidR="00C011E9" w:rsidRPr="00C011E9" w:rsidRDefault="00C011E9" w:rsidP="00C011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-0,700</w:t>
                </w:r>
              </w:p>
            </w:tc>
            <w:tc>
              <w:tcPr>
                <w:tcW w:w="1287" w:type="dxa"/>
                <w:noWrap/>
                <w:hideMark/>
              </w:tcPr>
              <w:p w:rsidR="00C011E9" w:rsidRPr="00C011E9" w:rsidRDefault="00C011E9" w:rsidP="00C011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-3,627</w:t>
                </w:r>
              </w:p>
            </w:tc>
          </w:tr>
          <w:tr w:rsidR="00C011E9" w:rsidRPr="00C011E9" w:rsidTr="00C011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C011E9" w:rsidRPr="00C011E9" w:rsidRDefault="00C011E9" w:rsidP="00C011E9">
                <w:pPr>
                  <w:rPr>
                    <w:rFonts w:ascii="Calibri" w:eastAsia="Times New Roman" w:hAnsi="Calibri" w:cs="Times New Roman"/>
                    <w:color w:val="000000"/>
                    <w:lang w:eastAsia="es-ES"/>
                  </w:rPr>
                </w:pPr>
              </w:p>
            </w:tc>
            <w:tc>
              <w:tcPr>
                <w:tcW w:w="1517" w:type="dxa"/>
                <w:noWrap/>
                <w:hideMark/>
              </w:tcPr>
              <w:p w:rsidR="00C011E9" w:rsidRPr="00C011E9" w:rsidRDefault="00C011E9" w:rsidP="00C011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C011E9" w:rsidRPr="00C011E9" w:rsidRDefault="00C011E9" w:rsidP="00C011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C011E9" w:rsidRPr="00C011E9" w:rsidRDefault="00C011E9" w:rsidP="00C011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C011E9" w:rsidRPr="00C011E9" w:rsidRDefault="00C011E9" w:rsidP="00C011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C011E9" w:rsidRPr="00C011E9" w:rsidTr="00C011E9">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C011E9" w:rsidRPr="00C011E9" w:rsidRDefault="00C011E9" w:rsidP="00C011E9">
                <w:pPr>
                  <w:rPr>
                    <w:rFonts w:ascii="Arial" w:eastAsia="Times New Roman" w:hAnsi="Arial" w:cs="Arial"/>
                    <w:sz w:val="16"/>
                    <w:szCs w:val="16"/>
                    <w:lang w:eastAsia="es-ES"/>
                  </w:rPr>
                </w:pPr>
                <w:r w:rsidRPr="00C011E9">
                  <w:rPr>
                    <w:rFonts w:ascii="Arial" w:eastAsia="Times New Roman" w:hAnsi="Arial" w:cs="Arial"/>
                    <w:sz w:val="16"/>
                    <w:szCs w:val="16"/>
                    <w:lang w:eastAsia="es-ES"/>
                  </w:rPr>
                  <w:t>Matrimonios por cada mil habitantes.</w:t>
                </w:r>
              </w:p>
            </w:tc>
            <w:tc>
              <w:tcPr>
                <w:tcW w:w="1517" w:type="dxa"/>
                <w:noWrap/>
                <w:hideMark/>
              </w:tcPr>
              <w:p w:rsidR="00C011E9" w:rsidRPr="00C011E9" w:rsidRDefault="00C011E9" w:rsidP="00C011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 xml:space="preserve">Aragón </w:t>
                </w:r>
              </w:p>
            </w:tc>
            <w:tc>
              <w:tcPr>
                <w:tcW w:w="1443" w:type="dxa"/>
                <w:noWrap/>
                <w:hideMark/>
              </w:tcPr>
              <w:p w:rsidR="00C011E9" w:rsidRPr="00C011E9" w:rsidRDefault="00C011E9" w:rsidP="00C011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GAL</w:t>
                </w:r>
              </w:p>
            </w:tc>
            <w:tc>
              <w:tcPr>
                <w:tcW w:w="1353" w:type="dxa"/>
                <w:noWrap/>
                <w:hideMark/>
              </w:tcPr>
              <w:p w:rsidR="00C011E9" w:rsidRPr="00C011E9" w:rsidRDefault="00C011E9" w:rsidP="00C011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 xml:space="preserve">Aragón </w:t>
                </w:r>
              </w:p>
            </w:tc>
            <w:tc>
              <w:tcPr>
                <w:tcW w:w="1287" w:type="dxa"/>
                <w:noWrap/>
                <w:hideMark/>
              </w:tcPr>
              <w:p w:rsidR="00C011E9" w:rsidRPr="00C011E9" w:rsidRDefault="00C011E9" w:rsidP="00C011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GAL</w:t>
                </w:r>
              </w:p>
            </w:tc>
          </w:tr>
          <w:tr w:rsidR="00C011E9" w:rsidRPr="00C011E9" w:rsidTr="00C011E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C011E9" w:rsidRPr="00C011E9" w:rsidRDefault="00C011E9" w:rsidP="00C011E9">
                <w:pPr>
                  <w:rPr>
                    <w:rFonts w:ascii="Arial" w:eastAsia="Times New Roman" w:hAnsi="Arial" w:cs="Arial"/>
                    <w:sz w:val="16"/>
                    <w:szCs w:val="16"/>
                    <w:lang w:eastAsia="es-ES"/>
                  </w:rPr>
                </w:pPr>
                <w:r w:rsidRPr="00C011E9">
                  <w:rPr>
                    <w:rFonts w:ascii="Arial" w:eastAsia="Times New Roman" w:hAnsi="Arial" w:cs="Arial"/>
                    <w:sz w:val="16"/>
                    <w:szCs w:val="16"/>
                    <w:lang w:eastAsia="es-ES"/>
                  </w:rPr>
                  <w:t>Tasa Bruta de Nupcialidad (‰).</w:t>
                </w:r>
              </w:p>
            </w:tc>
            <w:tc>
              <w:tcPr>
                <w:tcW w:w="1517" w:type="dxa"/>
                <w:noWrap/>
                <w:hideMark/>
              </w:tcPr>
              <w:p w:rsidR="00C011E9" w:rsidRPr="00C011E9" w:rsidRDefault="00C011E9" w:rsidP="00C011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3,492</w:t>
                </w:r>
              </w:p>
            </w:tc>
            <w:tc>
              <w:tcPr>
                <w:tcW w:w="1443" w:type="dxa"/>
                <w:noWrap/>
                <w:hideMark/>
              </w:tcPr>
              <w:p w:rsidR="00C011E9" w:rsidRPr="00C011E9" w:rsidRDefault="00C011E9" w:rsidP="00C011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2,499</w:t>
                </w:r>
              </w:p>
            </w:tc>
            <w:tc>
              <w:tcPr>
                <w:tcW w:w="1353" w:type="dxa"/>
                <w:noWrap/>
                <w:hideMark/>
              </w:tcPr>
              <w:p w:rsidR="00C011E9" w:rsidRPr="00C011E9" w:rsidRDefault="00C011E9" w:rsidP="00C011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3,205</w:t>
                </w:r>
              </w:p>
            </w:tc>
            <w:tc>
              <w:tcPr>
                <w:tcW w:w="1287" w:type="dxa"/>
                <w:noWrap/>
                <w:hideMark/>
              </w:tcPr>
              <w:p w:rsidR="00C011E9" w:rsidRPr="00C011E9" w:rsidRDefault="00C011E9" w:rsidP="00C011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011E9">
                  <w:rPr>
                    <w:rFonts w:ascii="Calibri" w:eastAsia="Times New Roman" w:hAnsi="Calibri" w:cs="Times New Roman"/>
                    <w:color w:val="000000"/>
                    <w:lang w:eastAsia="es-ES"/>
                  </w:rPr>
                  <w:t>2,963</w:t>
                </w:r>
              </w:p>
            </w:tc>
          </w:tr>
        </w:tbl>
        <w:p w:rsidR="00B50C23" w:rsidRDefault="00B50C23" w:rsidP="00DA6CCE">
          <w:pPr>
            <w:jc w:val="both"/>
            <w:rPr>
              <w:b/>
            </w:rPr>
          </w:pPr>
        </w:p>
        <w:p w:rsidR="00B50C23" w:rsidRDefault="00B50C23" w:rsidP="00DA6CCE">
          <w:pPr>
            <w:pStyle w:val="Prrafodelista"/>
            <w:numPr>
              <w:ilvl w:val="0"/>
              <w:numId w:val="1"/>
            </w:numPr>
            <w:jc w:val="both"/>
            <w:rPr>
              <w:b/>
              <w:sz w:val="24"/>
              <w:szCs w:val="24"/>
            </w:rPr>
          </w:pPr>
          <w:r w:rsidRPr="00B50C23">
            <w:rPr>
              <w:b/>
              <w:sz w:val="24"/>
              <w:szCs w:val="24"/>
            </w:rPr>
            <w:t>Movimientos de población según cambio de residencia:</w:t>
          </w:r>
        </w:p>
        <w:p w:rsidR="00AF7330" w:rsidRPr="00106908" w:rsidRDefault="00C011E9" w:rsidP="00190C45">
          <w:pPr>
            <w:pStyle w:val="Prrafodelista"/>
            <w:jc w:val="center"/>
            <w:rPr>
              <w:b/>
              <w:sz w:val="24"/>
              <w:szCs w:val="24"/>
            </w:rPr>
          </w:pPr>
          <w:r>
            <w:rPr>
              <w:noProof/>
              <w:lang w:eastAsia="es-ES"/>
            </w:rPr>
            <w:drawing>
              <wp:inline distT="0" distB="0" distL="0" distR="0" wp14:anchorId="11C57452" wp14:editId="5F0C211E">
                <wp:extent cx="5405120" cy="2468880"/>
                <wp:effectExtent l="0" t="0" r="24130" b="2667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F7330" w:rsidRPr="00EE4D4D" w:rsidRDefault="00AF7330" w:rsidP="00DA6CCE">
          <w:pPr>
            <w:pStyle w:val="Prrafodelista"/>
            <w:jc w:val="both"/>
            <w:rPr>
              <w:b/>
              <w:sz w:val="24"/>
              <w:szCs w:val="24"/>
            </w:rPr>
          </w:pPr>
        </w:p>
        <w:p w:rsidR="00E87CD9" w:rsidRDefault="00E87CD9" w:rsidP="00DA6CCE">
          <w:pPr>
            <w:pStyle w:val="Prrafodelista"/>
            <w:numPr>
              <w:ilvl w:val="0"/>
              <w:numId w:val="1"/>
            </w:numPr>
            <w:jc w:val="both"/>
            <w:rPr>
              <w:b/>
              <w:sz w:val="24"/>
              <w:szCs w:val="24"/>
            </w:rPr>
          </w:pPr>
          <w:r w:rsidRPr="00E87CD9">
            <w:rPr>
              <w:b/>
              <w:sz w:val="24"/>
              <w:szCs w:val="24"/>
            </w:rPr>
            <w:lastRenderedPageBreak/>
            <w:t>Porcentaje de llegada de hombres y mujeres extranjeros:</w:t>
          </w:r>
        </w:p>
        <w:p w:rsidR="00E87CD9" w:rsidRPr="00E87CD9" w:rsidRDefault="00E87CD9" w:rsidP="00DA6CCE">
          <w:pPr>
            <w:pStyle w:val="Prrafodelista"/>
            <w:jc w:val="both"/>
            <w:rPr>
              <w:b/>
              <w:sz w:val="24"/>
              <w:szCs w:val="24"/>
            </w:rPr>
          </w:pPr>
        </w:p>
        <w:p w:rsidR="00E87CD9" w:rsidRDefault="00C011E9" w:rsidP="00106908">
          <w:pPr>
            <w:pStyle w:val="Prrafodelista"/>
            <w:ind w:left="142" w:right="-568"/>
            <w:jc w:val="both"/>
            <w:rPr>
              <w:b/>
              <w:sz w:val="24"/>
              <w:szCs w:val="24"/>
            </w:rPr>
          </w:pPr>
          <w:r>
            <w:rPr>
              <w:b/>
              <w:noProof/>
              <w:sz w:val="24"/>
              <w:szCs w:val="24"/>
              <w:lang w:eastAsia="es-ES"/>
            </w:rPr>
            <w:drawing>
              <wp:inline distT="0" distB="0" distL="0" distR="0" wp14:anchorId="6F5F56A2" wp14:editId="378B83C8">
                <wp:extent cx="2743200" cy="1595120"/>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1595120"/>
                        </a:xfrm>
                        <a:prstGeom prst="rect">
                          <a:avLst/>
                        </a:prstGeom>
                        <a:noFill/>
                      </pic:spPr>
                    </pic:pic>
                  </a:graphicData>
                </a:graphic>
              </wp:inline>
            </w:drawing>
          </w:r>
          <w:r>
            <w:rPr>
              <w:b/>
              <w:noProof/>
              <w:sz w:val="24"/>
              <w:szCs w:val="24"/>
              <w:lang w:eastAsia="es-ES"/>
            </w:rPr>
            <w:drawing>
              <wp:inline distT="0" distB="0" distL="0" distR="0" wp14:anchorId="7E4B5E1A" wp14:editId="2C661278">
                <wp:extent cx="2743200" cy="160499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6044" cy="1606658"/>
                        </a:xfrm>
                        <a:prstGeom prst="rect">
                          <a:avLst/>
                        </a:prstGeom>
                        <a:noFill/>
                      </pic:spPr>
                    </pic:pic>
                  </a:graphicData>
                </a:graphic>
              </wp:inline>
            </w:drawing>
          </w:r>
        </w:p>
        <w:p w:rsidR="00974B32" w:rsidRDefault="00974B32"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Pr="00287406" w:rsidRDefault="008222AC" w:rsidP="00287406">
          <w:pPr>
            <w:jc w:val="both"/>
            <w:rPr>
              <w:b/>
              <w:sz w:val="24"/>
              <w:szCs w:val="24"/>
            </w:rPr>
          </w:pPr>
        </w:p>
        <w:p w:rsidR="00BB47F5" w:rsidRDefault="00BB47F5" w:rsidP="00DA6CCE">
          <w:pPr>
            <w:pStyle w:val="Prrafodelista"/>
            <w:jc w:val="both"/>
            <w:rPr>
              <w:b/>
              <w:sz w:val="24"/>
              <w:szCs w:val="24"/>
            </w:rPr>
          </w:pPr>
        </w:p>
        <w:p w:rsidR="00974B32" w:rsidRDefault="00974B32" w:rsidP="00DA6CCE">
          <w:pPr>
            <w:pStyle w:val="Prrafodelista"/>
            <w:jc w:val="both"/>
            <w:rPr>
              <w:b/>
              <w:sz w:val="24"/>
              <w:szCs w:val="24"/>
            </w:rPr>
          </w:pPr>
          <w:r>
            <w:rPr>
              <w:b/>
              <w:noProof/>
              <w:sz w:val="24"/>
              <w:szCs w:val="24"/>
              <w:lang w:eastAsia="es-ES"/>
            </w:rPr>
            <w:lastRenderedPageBreak/>
            <mc:AlternateContent>
              <mc:Choice Requires="wps">
                <w:drawing>
                  <wp:anchor distT="0" distB="0" distL="114300" distR="114300" simplePos="0" relativeHeight="251662336" behindDoc="0" locked="0" layoutInCell="1" allowOverlap="1" wp14:anchorId="62DF455B" wp14:editId="2A74A401">
                    <wp:simplePos x="0" y="0"/>
                    <wp:positionH relativeFrom="column">
                      <wp:posOffset>352425</wp:posOffset>
                    </wp:positionH>
                    <wp:positionV relativeFrom="paragraph">
                      <wp:posOffset>2540</wp:posOffset>
                    </wp:positionV>
                    <wp:extent cx="1516380" cy="419100"/>
                    <wp:effectExtent l="76200" t="38100" r="102870" b="114300"/>
                    <wp:wrapNone/>
                    <wp:docPr id="5" name="5 Rectángulo redondeado"/>
                    <wp:cNvGraphicFramePr/>
                    <a:graphic xmlns:a="http://schemas.openxmlformats.org/drawingml/2006/main">
                      <a:graphicData uri="http://schemas.microsoft.com/office/word/2010/wordprocessingShape">
                        <wps:wsp>
                          <wps:cNvSpPr/>
                          <wps:spPr>
                            <a:xfrm>
                              <a:off x="0" y="0"/>
                              <a:ext cx="1516380" cy="419100"/>
                            </a:xfrm>
                            <a:prstGeom prst="roundRect">
                              <a:avLst/>
                            </a:prstGeom>
                            <a:solidFill>
                              <a:schemeClr val="accent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974B32" w:rsidRPr="00974B32" w:rsidRDefault="00974B32" w:rsidP="00974B32">
                                <w:pPr>
                                  <w:jc w:val="center"/>
                                  <w:rPr>
                                    <w:b/>
                                    <w:sz w:val="28"/>
                                    <w:szCs w:val="28"/>
                                  </w:rPr>
                                </w:pPr>
                                <w:r w:rsidRPr="00974B32">
                                  <w:rPr>
                                    <w:b/>
                                    <w:sz w:val="28"/>
                                    <w:szCs w:val="28"/>
                                  </w:rPr>
                                  <w:t>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5 Rectángulo redondeado" o:spid="_x0000_s1027" style="position:absolute;left:0;text-align:left;margin-left:27.75pt;margin-top:.2pt;width:119.4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" fillcolor="#8064a2 [3207]" stroked="f" strokeweight="2pt">
                    <v:shadow on="t" color="black" opacity="20971f" offset="0,2.2pt"/>
                    <v:textbox>
                      <w:txbxContent>
                        <w:p w:rsidR="00974B32" w:rsidRPr="00974B32" w:rsidRDefault="00974B32" w:rsidP="00974B32">
                          <w:pPr>
                            <w:jc w:val="center"/>
                            <w:rPr>
                              <w:b/>
                              <w:sz w:val="28"/>
                              <w:szCs w:val="28"/>
                            </w:rPr>
                          </w:pPr>
                          <w:r w:rsidRPr="00974B32">
                            <w:rPr>
                              <w:b/>
                              <w:sz w:val="28"/>
                              <w:szCs w:val="28"/>
                            </w:rPr>
                            <w:t>ECONOMÍA</w:t>
                          </w:r>
                        </w:p>
                      </w:txbxContent>
                    </v:textbox>
                  </v:roundrect>
                </w:pict>
              </mc:Fallback>
            </mc:AlternateContent>
          </w:r>
        </w:p>
        <w:p w:rsidR="00183475" w:rsidRDefault="005F110C" w:rsidP="00DA6CCE">
          <w:pPr>
            <w:tabs>
              <w:tab w:val="left" w:pos="3456"/>
            </w:tabs>
            <w:ind w:firstLine="708"/>
            <w:jc w:val="both"/>
          </w:pPr>
          <w:r>
            <w:tab/>
          </w:r>
        </w:p>
        <w:p w:rsidR="00C6493A" w:rsidRDefault="005F110C" w:rsidP="00DA6CCE">
          <w:pPr>
            <w:pStyle w:val="Prrafodelista"/>
            <w:numPr>
              <w:ilvl w:val="0"/>
              <w:numId w:val="1"/>
            </w:numPr>
            <w:tabs>
              <w:tab w:val="left" w:pos="3456"/>
            </w:tabs>
            <w:jc w:val="both"/>
            <w:rPr>
              <w:b/>
            </w:rPr>
          </w:pPr>
          <w:r w:rsidRPr="005F110C">
            <w:rPr>
              <w:b/>
            </w:rPr>
            <w:t>Porcentaje de actividades económicas por sector de actividad</w:t>
          </w:r>
          <w:r w:rsidR="003729DC">
            <w:rPr>
              <w:b/>
            </w:rPr>
            <w:t xml:space="preserve"> (2012)</w:t>
          </w:r>
        </w:p>
        <w:p w:rsidR="00424122" w:rsidRDefault="00424122" w:rsidP="00DA6CCE">
          <w:pPr>
            <w:pStyle w:val="Prrafodelista"/>
            <w:tabs>
              <w:tab w:val="left" w:pos="3456"/>
            </w:tabs>
            <w:jc w:val="both"/>
            <w:rPr>
              <w:b/>
            </w:rPr>
          </w:pPr>
        </w:p>
        <w:p w:rsidR="007A3D6C" w:rsidRDefault="00BA5C6C" w:rsidP="00DA6CCE">
          <w:pPr>
            <w:pStyle w:val="Prrafodelista"/>
            <w:tabs>
              <w:tab w:val="left" w:pos="3456"/>
            </w:tabs>
            <w:ind w:left="284"/>
            <w:jc w:val="both"/>
            <w:rPr>
              <w:b/>
            </w:rPr>
          </w:pPr>
          <w:r>
            <w:rPr>
              <w:noProof/>
              <w:lang w:eastAsia="es-ES"/>
            </w:rPr>
            <w:drawing>
              <wp:inline distT="0" distB="0" distL="0" distR="0" wp14:anchorId="57C47C13" wp14:editId="27D8CA35">
                <wp:extent cx="5405120" cy="3027680"/>
                <wp:effectExtent l="0" t="0" r="24130" b="2032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748A7" w:rsidRPr="00EC5221" w:rsidRDefault="002748A7" w:rsidP="00DA6CCE">
          <w:pPr>
            <w:pStyle w:val="Prrafodelista"/>
            <w:tabs>
              <w:tab w:val="left" w:pos="3456"/>
            </w:tabs>
            <w:ind w:left="284"/>
            <w:jc w:val="both"/>
            <w:rPr>
              <w:b/>
            </w:rPr>
          </w:pPr>
        </w:p>
        <w:p w:rsidR="007A3D6C" w:rsidRPr="002748A7" w:rsidRDefault="007A3D6C" w:rsidP="002748A7">
          <w:pPr>
            <w:pStyle w:val="Prrafodelista"/>
            <w:numPr>
              <w:ilvl w:val="0"/>
              <w:numId w:val="1"/>
            </w:numPr>
            <w:tabs>
              <w:tab w:val="left" w:pos="3456"/>
            </w:tabs>
            <w:jc w:val="both"/>
            <w:rPr>
              <w:b/>
            </w:rPr>
          </w:pPr>
          <w:r>
            <w:rPr>
              <w:b/>
            </w:rPr>
            <w:t>Evolución de las actividades económicas durante el periodo 2011-2012:</w:t>
          </w:r>
        </w:p>
        <w:p w:rsidR="008222AC" w:rsidRDefault="008222AC" w:rsidP="00DA6CCE">
          <w:pPr>
            <w:pStyle w:val="Prrafodelista"/>
            <w:tabs>
              <w:tab w:val="left" w:pos="3456"/>
            </w:tabs>
            <w:jc w:val="both"/>
            <w:rPr>
              <w:b/>
            </w:rPr>
          </w:pPr>
        </w:p>
        <w:p w:rsidR="008222AC" w:rsidRDefault="00BA5C6C" w:rsidP="002748A7">
          <w:pPr>
            <w:pStyle w:val="Prrafodelista"/>
            <w:tabs>
              <w:tab w:val="left" w:pos="3456"/>
            </w:tabs>
            <w:ind w:left="284"/>
            <w:jc w:val="both"/>
            <w:rPr>
              <w:b/>
            </w:rPr>
          </w:pPr>
          <w:r>
            <w:rPr>
              <w:noProof/>
              <w:lang w:eastAsia="es-ES"/>
            </w:rPr>
            <w:drawing>
              <wp:inline distT="0" distB="0" distL="0" distR="0" wp14:anchorId="42D21CE9" wp14:editId="11ABDF54">
                <wp:extent cx="5476240" cy="3342640"/>
                <wp:effectExtent l="0" t="0" r="10160" b="1016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274D8" w:rsidRPr="002748A7" w:rsidRDefault="008274D8" w:rsidP="002748A7">
          <w:pPr>
            <w:pStyle w:val="Prrafodelista"/>
            <w:tabs>
              <w:tab w:val="left" w:pos="3456"/>
            </w:tabs>
            <w:ind w:left="284"/>
            <w:jc w:val="both"/>
            <w:rPr>
              <w:b/>
            </w:rPr>
          </w:pPr>
        </w:p>
        <w:p w:rsidR="00A84D47" w:rsidRDefault="00A84D47" w:rsidP="00DA6CCE">
          <w:pPr>
            <w:pStyle w:val="Prrafodelista"/>
            <w:tabs>
              <w:tab w:val="left" w:pos="3456"/>
            </w:tabs>
            <w:jc w:val="both"/>
            <w:rPr>
              <w:b/>
            </w:rPr>
          </w:pPr>
        </w:p>
        <w:p w:rsidR="009E04F8" w:rsidRDefault="009E04F8" w:rsidP="00DA6CCE">
          <w:pPr>
            <w:pStyle w:val="Prrafodelista"/>
            <w:tabs>
              <w:tab w:val="left" w:pos="3456"/>
            </w:tabs>
            <w:jc w:val="both"/>
            <w:rPr>
              <w:b/>
            </w:rPr>
          </w:pPr>
        </w:p>
        <w:p w:rsidR="00055955" w:rsidRDefault="00055955" w:rsidP="00DA6CCE">
          <w:pPr>
            <w:pStyle w:val="Prrafodelista"/>
            <w:tabs>
              <w:tab w:val="left" w:pos="3456"/>
            </w:tabs>
            <w:jc w:val="both"/>
            <w:rPr>
              <w:b/>
            </w:rPr>
          </w:pPr>
        </w:p>
        <w:p w:rsidR="00055955" w:rsidRDefault="00055955" w:rsidP="00DA6CCE">
          <w:pPr>
            <w:pStyle w:val="Prrafodelista"/>
            <w:tabs>
              <w:tab w:val="left" w:pos="3456"/>
            </w:tabs>
            <w:jc w:val="both"/>
            <w:rPr>
              <w:b/>
            </w:rPr>
          </w:pPr>
        </w:p>
        <w:p w:rsidR="00B56B75" w:rsidRDefault="00B56B75" w:rsidP="00DA6CCE">
          <w:pPr>
            <w:pStyle w:val="Prrafodelista"/>
            <w:numPr>
              <w:ilvl w:val="0"/>
              <w:numId w:val="1"/>
            </w:numPr>
            <w:jc w:val="both"/>
            <w:rPr>
              <w:b/>
            </w:rPr>
          </w:pPr>
          <w:r w:rsidRPr="00984B58">
            <w:rPr>
              <w:b/>
            </w:rPr>
            <w:lastRenderedPageBreak/>
            <w:t xml:space="preserve">Estructura de altas en la seguridad social por sexo y grupos de edad (Septiembre 2014) </w:t>
          </w:r>
        </w:p>
        <w:p w:rsidR="00A84D47" w:rsidRDefault="00BA5C6C" w:rsidP="00DA6CCE">
          <w:pPr>
            <w:pStyle w:val="Prrafodelista"/>
            <w:tabs>
              <w:tab w:val="left" w:pos="3456"/>
            </w:tabs>
            <w:ind w:left="0"/>
            <w:jc w:val="both"/>
            <w:rPr>
              <w:b/>
            </w:rPr>
          </w:pPr>
          <w:r>
            <w:rPr>
              <w:noProof/>
              <w:lang w:eastAsia="es-ES"/>
            </w:rPr>
            <w:drawing>
              <wp:inline distT="0" distB="0" distL="0" distR="0" wp14:anchorId="09A35457" wp14:editId="59E73145">
                <wp:extent cx="5740400" cy="3403600"/>
                <wp:effectExtent l="0" t="0" r="12700" b="2540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222AC" w:rsidRDefault="008222AC"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E562F3">
            <w:rPr>
              <w:b/>
            </w:rPr>
            <w:t>E</w:t>
          </w:r>
          <w:r>
            <w:rPr>
              <w:b/>
            </w:rPr>
            <w:t xml:space="preserve">structura de altas en la seguridad social por sexo y grupos de edad (Junio 2014) </w:t>
          </w:r>
        </w:p>
        <w:p w:rsidR="00B56B75" w:rsidRDefault="00B56B75" w:rsidP="00DA6CCE">
          <w:pPr>
            <w:pStyle w:val="Prrafodelista"/>
            <w:jc w:val="both"/>
            <w:rPr>
              <w:b/>
            </w:rPr>
          </w:pPr>
        </w:p>
        <w:p w:rsidR="00B56B75" w:rsidRDefault="00BA5C6C" w:rsidP="00DA6CCE">
          <w:pPr>
            <w:pStyle w:val="Prrafodelista"/>
            <w:tabs>
              <w:tab w:val="left" w:pos="3456"/>
            </w:tabs>
            <w:ind w:left="0"/>
            <w:jc w:val="both"/>
            <w:rPr>
              <w:b/>
            </w:rPr>
          </w:pPr>
          <w:r>
            <w:rPr>
              <w:noProof/>
              <w:lang w:eastAsia="es-ES"/>
            </w:rPr>
            <w:drawing>
              <wp:inline distT="0" distB="0" distL="0" distR="0" wp14:anchorId="155A0F97" wp14:editId="3B14E06F">
                <wp:extent cx="5811520" cy="3413760"/>
                <wp:effectExtent l="0" t="0" r="17780" b="1524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287406" w:rsidRDefault="00287406" w:rsidP="00DA6CCE">
          <w:pPr>
            <w:pStyle w:val="Prrafodelista"/>
            <w:tabs>
              <w:tab w:val="left" w:pos="3456"/>
            </w:tabs>
            <w:ind w:left="0"/>
            <w:jc w:val="both"/>
            <w:rPr>
              <w:b/>
            </w:rPr>
          </w:pPr>
        </w:p>
        <w:p w:rsidR="00287406" w:rsidRDefault="00287406"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967B27">
            <w:rPr>
              <w:b/>
            </w:rPr>
            <w:lastRenderedPageBreak/>
            <w:t xml:space="preserve">Total de altas en la seguridad social por actividad, agrupado por grupo y régimen (Junio 2014).  </w:t>
          </w:r>
        </w:p>
        <w:p w:rsidR="00B56B75" w:rsidRPr="00967B27" w:rsidRDefault="00B56B75" w:rsidP="00DA6CCE">
          <w:pPr>
            <w:pStyle w:val="Prrafodelista"/>
            <w:jc w:val="both"/>
            <w:rPr>
              <w:b/>
            </w:rPr>
          </w:pPr>
        </w:p>
        <w:p w:rsidR="00B56B75" w:rsidRDefault="0037571B" w:rsidP="00DA6CCE">
          <w:pPr>
            <w:pStyle w:val="Prrafodelista"/>
            <w:tabs>
              <w:tab w:val="left" w:pos="3456"/>
            </w:tabs>
            <w:ind w:left="0"/>
            <w:jc w:val="both"/>
            <w:rPr>
              <w:b/>
            </w:rPr>
          </w:pPr>
          <w:r>
            <w:rPr>
              <w:noProof/>
              <w:lang w:eastAsia="es-ES"/>
            </w:rPr>
            <w:drawing>
              <wp:inline distT="0" distB="0" distL="0" distR="0" wp14:anchorId="2AF2CE3A" wp14:editId="3FDE60FC">
                <wp:extent cx="5882640" cy="3261360"/>
                <wp:effectExtent l="0" t="0" r="22860" b="1524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001DA8">
            <w:rPr>
              <w:b/>
            </w:rPr>
            <w:t xml:space="preserve">Altas por sexo </w:t>
          </w:r>
          <w:r>
            <w:rPr>
              <w:b/>
            </w:rPr>
            <w:t>agrupados en</w:t>
          </w:r>
          <w:r w:rsidRPr="00001DA8">
            <w:rPr>
              <w:b/>
            </w:rPr>
            <w:t xml:space="preserve"> grupos y régimen de cotización (Septiembre 2014) </w:t>
          </w:r>
        </w:p>
        <w:p w:rsidR="009E04F8" w:rsidRPr="00001DA8" w:rsidRDefault="009E04F8" w:rsidP="009E04F8">
          <w:pPr>
            <w:pStyle w:val="Prrafodelista"/>
            <w:jc w:val="both"/>
            <w:rPr>
              <w:b/>
            </w:rPr>
          </w:pPr>
        </w:p>
        <w:p w:rsidR="00746BD5" w:rsidRDefault="00BA5C6C" w:rsidP="00695C58">
          <w:pPr>
            <w:pStyle w:val="Prrafodelista"/>
            <w:tabs>
              <w:tab w:val="left" w:pos="3456"/>
            </w:tabs>
            <w:ind w:left="0"/>
            <w:jc w:val="both"/>
            <w:rPr>
              <w:b/>
            </w:rPr>
          </w:pPr>
          <w:r>
            <w:rPr>
              <w:noProof/>
              <w:lang w:eastAsia="es-ES"/>
            </w:rPr>
            <w:drawing>
              <wp:inline distT="0" distB="0" distL="0" distR="0" wp14:anchorId="513B7C30" wp14:editId="721812B4">
                <wp:extent cx="5882640" cy="3484880"/>
                <wp:effectExtent l="0" t="0" r="22860" b="2032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A5C6C" w:rsidRDefault="00BA5C6C" w:rsidP="00695C58">
          <w:pPr>
            <w:pStyle w:val="Prrafodelista"/>
            <w:tabs>
              <w:tab w:val="left" w:pos="3456"/>
            </w:tabs>
            <w:ind w:left="0"/>
            <w:jc w:val="both"/>
            <w:rPr>
              <w:b/>
            </w:rPr>
          </w:pPr>
        </w:p>
        <w:p w:rsidR="00287406" w:rsidRDefault="00287406" w:rsidP="00695C58">
          <w:pPr>
            <w:pStyle w:val="Prrafodelista"/>
            <w:tabs>
              <w:tab w:val="left" w:pos="3456"/>
            </w:tabs>
            <w:ind w:left="0"/>
            <w:jc w:val="both"/>
            <w:rPr>
              <w:b/>
            </w:rPr>
          </w:pPr>
        </w:p>
        <w:p w:rsidR="00287406" w:rsidRDefault="00287406" w:rsidP="00695C58">
          <w:pPr>
            <w:pStyle w:val="Prrafodelista"/>
            <w:tabs>
              <w:tab w:val="left" w:pos="3456"/>
            </w:tabs>
            <w:ind w:left="0"/>
            <w:jc w:val="both"/>
            <w:rPr>
              <w:b/>
            </w:rPr>
          </w:pPr>
        </w:p>
        <w:p w:rsidR="00287406" w:rsidRDefault="00287406" w:rsidP="00695C58">
          <w:pPr>
            <w:pStyle w:val="Prrafodelista"/>
            <w:tabs>
              <w:tab w:val="left" w:pos="3456"/>
            </w:tabs>
            <w:ind w:left="0"/>
            <w:jc w:val="both"/>
            <w:rPr>
              <w:b/>
            </w:rPr>
          </w:pPr>
        </w:p>
        <w:p w:rsidR="00BA5C6C" w:rsidRPr="00565BB1" w:rsidRDefault="00BA5C6C" w:rsidP="00695C58">
          <w:pPr>
            <w:pStyle w:val="Prrafodelista"/>
            <w:tabs>
              <w:tab w:val="left" w:pos="3456"/>
            </w:tabs>
            <w:ind w:left="0"/>
            <w:jc w:val="both"/>
            <w:rPr>
              <w:b/>
            </w:rPr>
          </w:pPr>
        </w:p>
        <w:tbl>
          <w:tblPr>
            <w:tblStyle w:val="Sombreadoclaro-nfasis4"/>
            <w:tblpPr w:leftFromText="141" w:rightFromText="141" w:vertAnchor="text" w:horzAnchor="margin" w:tblpXSpec="center" w:tblpY="742"/>
            <w:tblW w:w="10120" w:type="dxa"/>
            <w:tblLook w:val="04A0" w:firstRow="1" w:lastRow="0" w:firstColumn="1" w:lastColumn="0" w:noHBand="0" w:noVBand="1"/>
          </w:tblPr>
          <w:tblGrid>
            <w:gridCol w:w="2304"/>
            <w:gridCol w:w="2106"/>
            <w:gridCol w:w="2304"/>
            <w:gridCol w:w="2386"/>
            <w:gridCol w:w="1020"/>
          </w:tblGrid>
          <w:tr w:rsidR="00B4331E" w:rsidRPr="00BA5C6C" w:rsidTr="00B4331E">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304" w:type="dxa"/>
                <w:vMerge w:val="restart"/>
                <w:noWrap/>
                <w:hideMark/>
              </w:tcPr>
              <w:p w:rsidR="00B4331E" w:rsidRPr="00BA5C6C" w:rsidRDefault="00B4331E" w:rsidP="00CF7037">
                <w:pPr>
                  <w:rPr>
                    <w:rFonts w:ascii="Calibri" w:eastAsia="Times New Roman" w:hAnsi="Calibri" w:cs="Times New Roman"/>
                    <w:color w:val="000000"/>
                    <w:lang w:eastAsia="es-ES"/>
                  </w:rPr>
                </w:pPr>
                <w:r w:rsidRPr="00BA5C6C">
                  <w:rPr>
                    <w:rFonts w:ascii="Calibri" w:eastAsia="Times New Roman" w:hAnsi="Calibri" w:cs="Times New Roman"/>
                    <w:color w:val="000000"/>
                    <w:lang w:eastAsia="es-ES"/>
                  </w:rPr>
                  <w:lastRenderedPageBreak/>
                  <w:t>BAJO ARAGON MATARRAÑ</w:t>
                </w:r>
              </w:p>
            </w:tc>
            <w:tc>
              <w:tcPr>
                <w:tcW w:w="2106" w:type="dxa"/>
                <w:noWrap/>
                <w:hideMark/>
              </w:tcPr>
              <w:p w:rsidR="00B4331E" w:rsidRPr="00BA5C6C" w:rsidRDefault="00B4331E" w:rsidP="00B4331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A5C6C">
                  <w:rPr>
                    <w:rFonts w:ascii="Calibri" w:eastAsia="Times New Roman" w:hAnsi="Calibri" w:cs="Times New Roman"/>
                    <w:color w:val="000000"/>
                    <w:lang w:eastAsia="es-ES"/>
                  </w:rPr>
                  <w:t>Total percepciones salarios</w:t>
                </w:r>
              </w:p>
            </w:tc>
            <w:tc>
              <w:tcPr>
                <w:tcW w:w="2304" w:type="dxa"/>
                <w:noWrap/>
                <w:hideMark/>
              </w:tcPr>
              <w:p w:rsidR="00B4331E" w:rsidRPr="00BA5C6C" w:rsidRDefault="00B4331E" w:rsidP="00B4331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A5C6C">
                  <w:rPr>
                    <w:rFonts w:ascii="Calibri" w:eastAsia="Times New Roman" w:hAnsi="Calibri" w:cs="Times New Roman"/>
                    <w:color w:val="000000"/>
                    <w:lang w:eastAsia="es-ES"/>
                  </w:rPr>
                  <w:t>Total Percepciones pensiones</w:t>
                </w:r>
              </w:p>
            </w:tc>
            <w:tc>
              <w:tcPr>
                <w:tcW w:w="2386" w:type="dxa"/>
                <w:noWrap/>
                <w:hideMark/>
              </w:tcPr>
              <w:p w:rsidR="00B4331E" w:rsidRPr="00BA5C6C" w:rsidRDefault="00B4331E" w:rsidP="00B4331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A5C6C">
                  <w:rPr>
                    <w:rFonts w:ascii="Calibri" w:eastAsia="Times New Roman" w:hAnsi="Calibri" w:cs="Times New Roman"/>
                    <w:color w:val="000000"/>
                    <w:lang w:eastAsia="es-ES"/>
                  </w:rPr>
                  <w:t>Total Percepciones desempleo</w:t>
                </w:r>
              </w:p>
            </w:tc>
            <w:tc>
              <w:tcPr>
                <w:tcW w:w="1020" w:type="dxa"/>
                <w:noWrap/>
                <w:hideMark/>
              </w:tcPr>
              <w:p w:rsidR="00B4331E" w:rsidRPr="00BA5C6C" w:rsidRDefault="00B4331E" w:rsidP="00B4331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Pr>
                    <w:rFonts w:ascii="Calibri" w:eastAsia="Times New Roman" w:hAnsi="Calibri" w:cs="Times New Roman"/>
                    <w:b w:val="0"/>
                    <w:bCs w:val="0"/>
                    <w:color w:val="000000"/>
                    <w:lang w:eastAsia="es-ES"/>
                  </w:rPr>
                  <w:t>Padró</w:t>
                </w:r>
                <w:r w:rsidRPr="00BA5C6C">
                  <w:rPr>
                    <w:rFonts w:ascii="Calibri" w:eastAsia="Times New Roman" w:hAnsi="Calibri" w:cs="Times New Roman"/>
                    <w:color w:val="000000"/>
                    <w:lang w:eastAsia="es-ES"/>
                  </w:rPr>
                  <w:t>n total</w:t>
                </w:r>
              </w:p>
            </w:tc>
          </w:tr>
          <w:tr w:rsidR="00B4331E" w:rsidRPr="00BA5C6C" w:rsidTr="00B4331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304" w:type="dxa"/>
                <w:vMerge/>
                <w:noWrap/>
                <w:hideMark/>
              </w:tcPr>
              <w:p w:rsidR="00B4331E" w:rsidRPr="00BA5C6C" w:rsidRDefault="00B4331E" w:rsidP="00BA5C6C">
                <w:pPr>
                  <w:rPr>
                    <w:rFonts w:ascii="Calibri" w:eastAsia="Times New Roman" w:hAnsi="Calibri" w:cs="Times New Roman"/>
                    <w:color w:val="000000"/>
                    <w:lang w:eastAsia="es-ES"/>
                  </w:rPr>
                </w:pPr>
              </w:p>
            </w:tc>
            <w:tc>
              <w:tcPr>
                <w:tcW w:w="2106" w:type="dxa"/>
                <w:noWrap/>
                <w:hideMark/>
              </w:tcPr>
              <w:p w:rsidR="00B4331E" w:rsidRPr="00BA5C6C" w:rsidRDefault="00B4331E" w:rsidP="00B433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BA5C6C">
                  <w:rPr>
                    <w:rFonts w:ascii="Calibri" w:eastAsia="Times New Roman" w:hAnsi="Calibri" w:cs="Times New Roman"/>
                    <w:b/>
                    <w:bCs/>
                    <w:color w:val="000000"/>
                    <w:lang w:eastAsia="es-ES"/>
                  </w:rPr>
                  <w:t>19472</w:t>
                </w:r>
              </w:p>
            </w:tc>
            <w:tc>
              <w:tcPr>
                <w:tcW w:w="2304" w:type="dxa"/>
                <w:noWrap/>
                <w:hideMark/>
              </w:tcPr>
              <w:p w:rsidR="00B4331E" w:rsidRPr="00BA5C6C" w:rsidRDefault="00B4331E" w:rsidP="00B433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BA5C6C">
                  <w:rPr>
                    <w:rFonts w:ascii="Calibri" w:eastAsia="Times New Roman" w:hAnsi="Calibri" w:cs="Times New Roman"/>
                    <w:b/>
                    <w:bCs/>
                    <w:color w:val="000000"/>
                    <w:lang w:eastAsia="es-ES"/>
                  </w:rPr>
                  <w:t>10834</w:t>
                </w:r>
              </w:p>
            </w:tc>
            <w:tc>
              <w:tcPr>
                <w:tcW w:w="2386" w:type="dxa"/>
                <w:noWrap/>
                <w:hideMark/>
              </w:tcPr>
              <w:p w:rsidR="00B4331E" w:rsidRPr="00BA5C6C" w:rsidRDefault="00B4331E" w:rsidP="00B433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BA5C6C">
                  <w:rPr>
                    <w:rFonts w:ascii="Calibri" w:eastAsia="Times New Roman" w:hAnsi="Calibri" w:cs="Times New Roman"/>
                    <w:b/>
                    <w:bCs/>
                    <w:color w:val="000000"/>
                    <w:lang w:eastAsia="es-ES"/>
                  </w:rPr>
                  <w:t>4234</w:t>
                </w:r>
              </w:p>
            </w:tc>
            <w:tc>
              <w:tcPr>
                <w:tcW w:w="1020" w:type="dxa"/>
                <w:noWrap/>
                <w:hideMark/>
              </w:tcPr>
              <w:p w:rsidR="00B4331E" w:rsidRPr="00BA5C6C" w:rsidRDefault="00B4331E" w:rsidP="00B433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BA5C6C">
                  <w:rPr>
                    <w:rFonts w:ascii="Calibri" w:eastAsia="Times New Roman" w:hAnsi="Calibri" w:cs="Times New Roman"/>
                    <w:b/>
                    <w:bCs/>
                    <w:color w:val="000000"/>
                    <w:lang w:eastAsia="es-ES"/>
                  </w:rPr>
                  <w:t>38505</w:t>
                </w:r>
              </w:p>
            </w:tc>
          </w:tr>
        </w:tbl>
        <w:p w:rsidR="00D16764" w:rsidRPr="00AF7330" w:rsidRDefault="00565BB1" w:rsidP="00DA6CCE">
          <w:pPr>
            <w:pStyle w:val="Prrafodelista"/>
            <w:numPr>
              <w:ilvl w:val="0"/>
              <w:numId w:val="1"/>
            </w:numPr>
            <w:tabs>
              <w:tab w:val="left" w:pos="3456"/>
            </w:tabs>
            <w:jc w:val="both"/>
            <w:rPr>
              <w:b/>
            </w:rPr>
          </w:pPr>
          <w:r w:rsidRPr="009257EF">
            <w:rPr>
              <w:b/>
            </w:rPr>
            <w:t xml:space="preserve"> </w:t>
          </w:r>
          <w:r w:rsidR="00746BD5" w:rsidRPr="009257EF">
            <w:rPr>
              <w:b/>
            </w:rPr>
            <w:t>Promedio de las fuentes tributarias que exis</w:t>
          </w:r>
          <w:r w:rsidR="008D0731">
            <w:rPr>
              <w:b/>
            </w:rPr>
            <w:t>ten de cada tipo en el grupo BAJO ARAGÓN MATARRAÑA (2010).</w:t>
          </w:r>
        </w:p>
        <w:p w:rsidR="00746BD5" w:rsidRDefault="00746BD5" w:rsidP="00DA6CCE">
          <w:pPr>
            <w:pStyle w:val="Prrafodelista"/>
            <w:tabs>
              <w:tab w:val="left" w:pos="3456"/>
            </w:tabs>
            <w:jc w:val="both"/>
            <w:rPr>
              <w:b/>
            </w:rPr>
          </w:pPr>
        </w:p>
        <w:p w:rsidR="00746BD5" w:rsidRDefault="00746BD5" w:rsidP="00DA6CCE">
          <w:pPr>
            <w:pStyle w:val="Prrafodelista"/>
            <w:tabs>
              <w:tab w:val="left" w:pos="3456"/>
            </w:tabs>
            <w:jc w:val="both"/>
            <w:rPr>
              <w:b/>
            </w:rPr>
          </w:pPr>
        </w:p>
        <w:p w:rsidR="00A84D47" w:rsidRDefault="00A84D47" w:rsidP="00DA6CCE">
          <w:pPr>
            <w:pStyle w:val="Prrafodelista"/>
            <w:tabs>
              <w:tab w:val="left" w:pos="3456"/>
            </w:tabs>
            <w:ind w:left="567"/>
            <w:jc w:val="both"/>
            <w:rPr>
              <w:b/>
            </w:rPr>
          </w:pPr>
        </w:p>
        <w:p w:rsidR="00EC5221" w:rsidRDefault="00EC5221" w:rsidP="00DA6CCE">
          <w:pPr>
            <w:pStyle w:val="Prrafodelista"/>
            <w:tabs>
              <w:tab w:val="left" w:pos="3456"/>
            </w:tabs>
            <w:jc w:val="both"/>
            <w:rPr>
              <w:b/>
            </w:rPr>
          </w:pPr>
        </w:p>
        <w:p w:rsidR="00EC5221" w:rsidRDefault="00EC5221" w:rsidP="00DA6CCE">
          <w:pPr>
            <w:pStyle w:val="Prrafodelista"/>
            <w:tabs>
              <w:tab w:val="left" w:pos="3456"/>
            </w:tabs>
            <w:jc w:val="both"/>
            <w:rPr>
              <w:b/>
            </w:rPr>
          </w:pPr>
        </w:p>
        <w:p w:rsidR="007A3D6C" w:rsidRDefault="007A3D6C" w:rsidP="00DA6CCE">
          <w:pPr>
            <w:pStyle w:val="Prrafodelista"/>
            <w:tabs>
              <w:tab w:val="left" w:pos="3456"/>
            </w:tabs>
            <w:ind w:left="284"/>
            <w:jc w:val="both"/>
            <w:rPr>
              <w:b/>
            </w:rPr>
          </w:pPr>
        </w:p>
        <w:p w:rsidR="00EC5221" w:rsidRDefault="00EC5221"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3729DC" w:rsidRDefault="003729DC" w:rsidP="00DA6CCE">
          <w:pPr>
            <w:pStyle w:val="Prrafodelista"/>
            <w:tabs>
              <w:tab w:val="left" w:pos="3456"/>
            </w:tabs>
            <w:ind w:left="284"/>
            <w:jc w:val="both"/>
            <w:rPr>
              <w:b/>
            </w:rPr>
          </w:pPr>
        </w:p>
        <w:p w:rsidR="00424122" w:rsidRDefault="00424122"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286C91" w:rsidRDefault="00286C91" w:rsidP="00DA6CCE">
          <w:pPr>
            <w:pStyle w:val="Prrafodelista"/>
            <w:tabs>
              <w:tab w:val="left" w:pos="3456"/>
            </w:tabs>
            <w:ind w:left="284"/>
            <w:jc w:val="both"/>
            <w:rPr>
              <w:b/>
            </w:rPr>
          </w:pPr>
        </w:p>
        <w:p w:rsidR="00B4331E" w:rsidRDefault="00B4331E"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3D4E91" w:rsidRDefault="003D4E91" w:rsidP="00DA6CCE">
          <w:pPr>
            <w:pStyle w:val="Prrafodelista"/>
            <w:tabs>
              <w:tab w:val="left" w:pos="3456"/>
            </w:tabs>
            <w:ind w:left="284"/>
            <w:jc w:val="both"/>
          </w:pPr>
          <w:r>
            <w:rPr>
              <w:b/>
            </w:rPr>
            <w:lastRenderedPageBreak/>
            <w:t xml:space="preserve">              </w:t>
          </w:r>
          <w:r w:rsidRPr="003D4E91">
            <w:t>A continuación se mostrarán algunos mapas de carácter representativo que nos darán las pautas para conocer y poder resolver los problemas que existen en cada uno de los grupos LEADER, en este caso</w:t>
          </w:r>
          <w:r>
            <w:t xml:space="preserve"> </w:t>
          </w:r>
          <w:r w:rsidRPr="003D4E91">
            <w:t xml:space="preserve">siendo el Grupo de </w:t>
          </w:r>
          <w:r w:rsidR="00286C91">
            <w:t xml:space="preserve">Acción Local </w:t>
          </w:r>
          <w:r w:rsidR="00B4331E">
            <w:t>BAJO ARAGÓN MATARRAÑA</w:t>
          </w:r>
          <w:r w:rsidRPr="003D4E91">
            <w:t>.</w:t>
          </w:r>
        </w:p>
        <w:p w:rsidR="00D139A2" w:rsidRDefault="00D139A2" w:rsidP="00DA6CCE">
          <w:pPr>
            <w:pStyle w:val="Prrafodelista"/>
            <w:tabs>
              <w:tab w:val="left" w:pos="3456"/>
            </w:tabs>
            <w:ind w:left="284"/>
            <w:jc w:val="both"/>
          </w:pPr>
          <w:r>
            <w:tab/>
          </w:r>
        </w:p>
        <w:p w:rsidR="00D139A2" w:rsidRDefault="00D139A2" w:rsidP="00DA6CCE">
          <w:pPr>
            <w:pStyle w:val="Prrafodelista"/>
            <w:tabs>
              <w:tab w:val="left" w:pos="3456"/>
            </w:tabs>
            <w:ind w:left="284"/>
            <w:jc w:val="both"/>
          </w:pPr>
          <w:r>
            <w:t xml:space="preserve">           Al realizar esta serie de mapas se han tenido en cuenta los totales sobre el total de cada territorio a excepción del caso del mapa de envejecimiento medio de Aragón sobre el total de cada municipio donde se ha aplicado un criterio a través del cual se han clasificado las tasas de envejecimiento para cada municipio  en función de si su valor era inferior, igual o superior a la media total de envejecimiento aragonés.</w:t>
          </w:r>
        </w:p>
        <w:p w:rsidR="003D4E91" w:rsidRDefault="003D4E91" w:rsidP="00DA6CCE">
          <w:pPr>
            <w:pStyle w:val="Prrafodelista"/>
            <w:tabs>
              <w:tab w:val="left" w:pos="3456"/>
            </w:tabs>
            <w:ind w:left="284"/>
            <w:jc w:val="both"/>
          </w:pPr>
        </w:p>
        <w:p w:rsidR="003D4E91" w:rsidRDefault="003D4E91" w:rsidP="00DA6CCE">
          <w:pPr>
            <w:pStyle w:val="Prrafodelista"/>
            <w:tabs>
              <w:tab w:val="left" w:pos="3456"/>
            </w:tabs>
            <w:ind w:left="284"/>
            <w:jc w:val="both"/>
          </w:pPr>
          <w:r>
            <w:t xml:space="preserve">            Como vemos se trata de un grupo </w:t>
          </w:r>
          <w:r w:rsidR="00924E6A">
            <w:t>formado por la</w:t>
          </w:r>
          <w:r w:rsidR="00286C91">
            <w:t xml:space="preserve"> agrupación de comarcas de</w:t>
          </w:r>
          <w:r w:rsidR="00B4331E">
            <w:t>l Bajo Aragón y Matarraña</w:t>
          </w:r>
          <w:r w:rsidR="00286C91">
            <w:t xml:space="preserve">, </w:t>
          </w:r>
          <w:r w:rsidR="009508AE">
            <w:t xml:space="preserve"> </w:t>
          </w:r>
          <w:r w:rsidR="00924E6A">
            <w:t>y engloba un total de</w:t>
          </w:r>
          <w:r w:rsidR="00286C91">
            <w:t xml:space="preserve"> </w:t>
          </w:r>
          <w:r w:rsidR="00B4331E">
            <w:t>38</w:t>
          </w:r>
          <w:r w:rsidR="00286C91">
            <w:t xml:space="preserve"> </w:t>
          </w:r>
          <w:r w:rsidR="00924E6A">
            <w:t>municipios.</w:t>
          </w:r>
        </w:p>
        <w:p w:rsidR="00D139A2" w:rsidRPr="003D4E91" w:rsidRDefault="00D139A2" w:rsidP="00DA6CCE">
          <w:pPr>
            <w:pStyle w:val="Prrafodelista"/>
            <w:tabs>
              <w:tab w:val="left" w:pos="3456"/>
            </w:tabs>
            <w:ind w:left="284"/>
            <w:jc w:val="both"/>
          </w:pPr>
        </w:p>
        <w:p w:rsidR="003D4E91" w:rsidRPr="00625167" w:rsidRDefault="00E51691" w:rsidP="00452FBF">
          <w:pPr>
            <w:pStyle w:val="Prrafodelista"/>
            <w:tabs>
              <w:tab w:val="left" w:pos="3456"/>
            </w:tabs>
            <w:ind w:left="284"/>
            <w:jc w:val="center"/>
            <w:rPr>
              <w:b/>
            </w:rPr>
          </w:pPr>
          <w:r>
            <w:rPr>
              <w:b/>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6pt;height:484pt">
                <v:imagedata r:id="rId36" o:title="localización"/>
              </v:shape>
            </w:pict>
          </w:r>
        </w:p>
        <w:p w:rsidR="00B96BF7" w:rsidRDefault="00B96BF7" w:rsidP="00286C91">
          <w:pPr>
            <w:jc w:val="both"/>
          </w:pPr>
        </w:p>
        <w:p w:rsidR="0073084C" w:rsidRDefault="00924E6A" w:rsidP="00E51691">
          <w:pPr>
            <w:ind w:firstLine="708"/>
            <w:jc w:val="both"/>
          </w:pPr>
          <w:r>
            <w:t>El grupo de acción local</w:t>
          </w:r>
          <w:r w:rsidR="00737319">
            <w:t xml:space="preserve"> </w:t>
          </w:r>
          <w:r w:rsidR="00E51691">
            <w:t xml:space="preserve">BAJO ARAGÓN MATARRAÑA se encuentra formado por la agrupación de comarcas del Bajo Aragón y el Matarraña donde podemos encontrar distintos tipos de relieve aunque con determinados rasgos semejantes como puede ser la escasa altitud, los valles, etc. Un rasgo característico de la Comarca del Bajo Aragón es su condición respecto al relieve de la zona pues </w:t>
          </w:r>
          <w:r w:rsidR="00E51691" w:rsidRPr="00E51691">
            <w:t xml:space="preserve"> </w:t>
          </w:r>
          <w:r w:rsidR="00E51691">
            <w:t>forma parte de dos grandes unidades morfoestructurales del NE de la Península Ibérica: la Cordillera Ibérica y la Cuenca del Ebro.</w:t>
          </w:r>
          <w:r w:rsidR="00E51691">
            <w:t xml:space="preserve"> Por otro lado, en la Comarca del Matarraña lo que vemos es un conjunto de dos unidades </w:t>
          </w:r>
          <w:proofErr w:type="spellStart"/>
          <w:r w:rsidR="00E51691">
            <w:t>morfoestructurales</w:t>
          </w:r>
          <w:proofErr w:type="spellEnd"/>
          <w:r w:rsidR="00E51691">
            <w:t xml:space="preserve"> bien diferenciadas que generan un tipo de relieve geomorfológicamente muy </w:t>
          </w:r>
          <w:proofErr w:type="gramStart"/>
          <w:r w:rsidR="00E51691">
            <w:t>característico y contrastado</w:t>
          </w:r>
          <w:proofErr w:type="gramEnd"/>
          <w:r w:rsidR="00E51691">
            <w:t xml:space="preserve"> por un lado las sierras de escasa extensión conocidas como los Puertos de </w:t>
          </w:r>
          <w:proofErr w:type="spellStart"/>
          <w:r w:rsidR="00E51691">
            <w:t>Beceite</w:t>
          </w:r>
          <w:proofErr w:type="spellEnd"/>
          <w:r w:rsidR="00E51691">
            <w:t>, la Depresión del Ebro.</w:t>
          </w:r>
        </w:p>
        <w:p w:rsidR="003D4E91" w:rsidRDefault="00E51691" w:rsidP="00452FBF">
          <w:pPr>
            <w:jc w:val="center"/>
            <w:rPr>
              <w:b/>
            </w:rPr>
          </w:pPr>
          <w:r>
            <w:rPr>
              <w:b/>
            </w:rPr>
            <w:pict>
              <v:shape id="_x0000_i1039" type="#_x0000_t75" style="width:332pt;height:469.6pt">
                <v:imagedata r:id="rId37" o:title="medio_fisico"/>
              </v:shape>
            </w:pict>
          </w:r>
          <w:bookmarkStart w:id="0" w:name="_GoBack"/>
          <w:bookmarkEnd w:id="0"/>
        </w:p>
        <w:p w:rsidR="009508AE" w:rsidRDefault="009508AE" w:rsidP="00DA6CCE">
          <w:pPr>
            <w:jc w:val="both"/>
            <w:rPr>
              <w:b/>
            </w:rPr>
          </w:pPr>
        </w:p>
        <w:p w:rsidR="00943066" w:rsidRDefault="00943066" w:rsidP="00DA6CCE">
          <w:pPr>
            <w:jc w:val="both"/>
            <w:rPr>
              <w:b/>
            </w:rPr>
          </w:pPr>
        </w:p>
        <w:p w:rsidR="003D4E91" w:rsidRDefault="003D4E91" w:rsidP="00DA6CCE">
          <w:pPr>
            <w:ind w:firstLine="708"/>
            <w:jc w:val="both"/>
          </w:pPr>
          <w:r w:rsidRPr="003D4E91">
            <w:lastRenderedPageBreak/>
            <w:t xml:space="preserve">A la hora de llevar a cabo un estudio de lo que sería la población de la zona vemos como </w:t>
          </w:r>
          <w:r>
            <w:t xml:space="preserve">la mayoría de los municipios presenta altos niveles de masculinidad según las tasas calculadas y aplicadas para ello. </w:t>
          </w:r>
          <w:r w:rsidR="00D139A2">
            <w:t xml:space="preserve">En el caso de </w:t>
          </w:r>
          <w:r w:rsidR="00B4331E">
            <w:t>BAJO ARAGÓN MATARRAÑA</w:t>
          </w:r>
          <w:r w:rsidR="000A6D47">
            <w:t xml:space="preserve"> </w:t>
          </w:r>
          <w:r w:rsidR="00BE5550">
            <w:t>vemos como la mayoría de municipios presentan tasas de masculinida</w:t>
          </w:r>
          <w:r w:rsidR="00E81C69">
            <w:t>d superiores a las de feminidad. A excepción de</w:t>
          </w:r>
          <w:r w:rsidR="00B4331E">
            <w:t xml:space="preserve"> </w:t>
          </w:r>
          <w:proofErr w:type="spellStart"/>
          <w:r w:rsidR="00B4331E">
            <w:t>Arens</w:t>
          </w:r>
          <w:proofErr w:type="spellEnd"/>
          <w:r w:rsidR="00B4331E">
            <w:t xml:space="preserve"> de Lledó, Belmonte de San José, </w:t>
          </w:r>
          <w:proofErr w:type="spellStart"/>
          <w:r w:rsidR="00B4331E">
            <w:t>Calanda</w:t>
          </w:r>
          <w:proofErr w:type="spellEnd"/>
          <w:r w:rsidR="00B4331E">
            <w:t xml:space="preserve">, </w:t>
          </w:r>
          <w:proofErr w:type="spellStart"/>
          <w:r w:rsidR="00B4331E">
            <w:t>Fórnoles</w:t>
          </w:r>
          <w:proofErr w:type="spellEnd"/>
          <w:r w:rsidR="00B4331E">
            <w:t xml:space="preserve">, </w:t>
          </w:r>
          <w:proofErr w:type="spellStart"/>
          <w:r w:rsidR="00B4331E">
            <w:t>Fuentespalda</w:t>
          </w:r>
          <w:proofErr w:type="spellEnd"/>
          <w:r w:rsidR="00B4331E">
            <w:t xml:space="preserve">, La Mata de los Olmos, La </w:t>
          </w:r>
          <w:proofErr w:type="spellStart"/>
          <w:r w:rsidR="00B4331E">
            <w:t>Portellada</w:t>
          </w:r>
          <w:proofErr w:type="spellEnd"/>
          <w:r w:rsidR="00B4331E">
            <w:t xml:space="preserve"> y </w:t>
          </w:r>
          <w:proofErr w:type="spellStart"/>
          <w:r w:rsidR="00B4331E">
            <w:t>Valdealgorfa</w:t>
          </w:r>
          <w:proofErr w:type="spellEnd"/>
          <w:r w:rsidR="00B4331E">
            <w:t>.</w:t>
          </w:r>
        </w:p>
        <w:p w:rsidR="00B4331E" w:rsidRDefault="00E51691" w:rsidP="00DA6CCE">
          <w:pPr>
            <w:ind w:firstLine="708"/>
            <w:jc w:val="both"/>
            <w:rPr>
              <w:b/>
            </w:rPr>
          </w:pPr>
          <w:r>
            <w:pict>
              <v:shape id="_x0000_i1027" type="#_x0000_t75" style="width:372pt;height:526.4pt">
                <v:imagedata r:id="rId38" o:title="densi_fem_mascu"/>
              </v:shape>
            </w:pict>
          </w:r>
        </w:p>
        <w:p w:rsidR="00592215" w:rsidRDefault="00592215" w:rsidP="00DA02BE">
          <w:pPr>
            <w:jc w:val="center"/>
            <w:rPr>
              <w:b/>
            </w:rPr>
          </w:pPr>
        </w:p>
        <w:p w:rsidR="0073084C" w:rsidRDefault="00592215" w:rsidP="00DA6CCE">
          <w:pPr>
            <w:jc w:val="both"/>
            <w:rPr>
              <w:b/>
            </w:rPr>
          </w:pPr>
          <w:r>
            <w:rPr>
              <w:b/>
            </w:rPr>
            <w:tab/>
          </w:r>
        </w:p>
        <w:p w:rsidR="00592215" w:rsidRPr="00592215" w:rsidRDefault="00592215" w:rsidP="0073084C">
          <w:pPr>
            <w:ind w:firstLine="708"/>
            <w:jc w:val="both"/>
          </w:pPr>
          <w:r>
            <w:lastRenderedPageBreak/>
            <w:t xml:space="preserve">En cuanto al </w:t>
          </w:r>
          <w:r w:rsidRPr="005C032F">
            <w:rPr>
              <w:b/>
            </w:rPr>
            <w:t>envejecimiento</w:t>
          </w:r>
          <w:r>
            <w:t xml:space="preserve">, encontrábamos valores muy altos para todos los casos por lo que lo que decidimos fue partir de la idea de que existía ese problema para prácticamente el total de municipios y a raíz de ahí establecer una diferenciación clara al comparar dichos valores con la media total de envejecimiento de Aragón en función de si estos eran inferiores, iguales o superiores a la misma. </w:t>
          </w:r>
        </w:p>
        <w:p w:rsidR="003D4E91" w:rsidRDefault="00E51691" w:rsidP="00452FBF">
          <w:pPr>
            <w:jc w:val="center"/>
            <w:rPr>
              <w:b/>
            </w:rPr>
          </w:pPr>
          <w:r>
            <w:rPr>
              <w:b/>
              <w:noProof/>
              <w:lang w:eastAsia="es-ES"/>
            </w:rPr>
            <w:pict>
              <v:shape id="_x0000_i1028" type="#_x0000_t75" style="width:406.4pt;height:551.2pt">
                <v:imagedata r:id="rId39" o:title="tasaenvejaragon_bamatarra"/>
              </v:shape>
            </w:pict>
          </w:r>
        </w:p>
        <w:p w:rsidR="00B4331E" w:rsidRDefault="00592215" w:rsidP="00DA6CCE">
          <w:pPr>
            <w:jc w:val="both"/>
          </w:pPr>
          <w:r>
            <w:rPr>
              <w:b/>
            </w:rPr>
            <w:tab/>
          </w:r>
          <w:r>
            <w:t xml:space="preserve">Los municipios </w:t>
          </w:r>
          <w:r w:rsidRPr="00592215">
            <w:t xml:space="preserve">que </w:t>
          </w:r>
          <w:r>
            <w:t>se representan en gris son aquellos de los que no hemos podido disponer de datos.</w:t>
          </w:r>
          <w:r w:rsidR="00943066">
            <w:t xml:space="preserve"> </w:t>
          </w:r>
          <w:r w:rsidR="00B4331E">
            <w:t>E</w:t>
          </w:r>
          <w:r w:rsidR="00AB3ED5">
            <w:t>n amarillo</w:t>
          </w:r>
          <w:r w:rsidR="00085C12">
            <w:t xml:space="preserve"> </w:t>
          </w:r>
          <w:r>
            <w:t xml:space="preserve"> vemos los valores que se asemejan a la media de Aragón</w:t>
          </w:r>
          <w:r w:rsidR="00085C12">
            <w:t xml:space="preserve"> pudiendo ver como</w:t>
          </w:r>
          <w:r w:rsidR="00B4331E">
            <w:t xml:space="preserve"> </w:t>
          </w:r>
          <w:proofErr w:type="spellStart"/>
          <w:r w:rsidR="00B4331E">
            <w:t>Alcañiz</w:t>
          </w:r>
          <w:proofErr w:type="spellEnd"/>
          <w:r w:rsidR="00B4331E">
            <w:t xml:space="preserve"> (78,5%), </w:t>
          </w:r>
          <w:proofErr w:type="spellStart"/>
          <w:r w:rsidR="00B4331E">
            <w:t>Alcorisa</w:t>
          </w:r>
          <w:proofErr w:type="spellEnd"/>
          <w:r w:rsidR="00B4331E">
            <w:t xml:space="preserve"> (94,4%) y </w:t>
          </w:r>
          <w:proofErr w:type="spellStart"/>
          <w:r w:rsidR="00B4331E">
            <w:t>Valderrobles</w:t>
          </w:r>
          <w:proofErr w:type="spellEnd"/>
          <w:r w:rsidR="00B4331E">
            <w:t xml:space="preserve"> (107,2%)</w:t>
          </w:r>
          <w:r w:rsidR="00085C12">
            <w:t xml:space="preserve">  cumplen este requisito</w:t>
          </w:r>
          <w:r w:rsidR="0073084C">
            <w:t>.</w:t>
          </w:r>
          <w:r w:rsidR="00D1226C">
            <w:t xml:space="preserve"> </w:t>
          </w:r>
          <w:r w:rsidR="0073084C">
            <w:t>Y</w:t>
          </w:r>
          <w:r>
            <w:t xml:space="preserve">, en el último caso, los valores que se representan en diferentes tonalidades de rojo </w:t>
          </w:r>
          <w:r>
            <w:lastRenderedPageBreak/>
            <w:t xml:space="preserve">son aquellos </w:t>
          </w:r>
          <w:r w:rsidR="00AB3ED5">
            <w:t xml:space="preserve">que se encuentran por encima de la media. Con estas tonalidades hemos querido resaltar aquellos municipios que dentro de tasas altas de envejecimiento tienen valores </w:t>
          </w:r>
          <w:r w:rsidR="005C032F">
            <w:t>más</w:t>
          </w:r>
          <w:r w:rsidR="00AB3ED5">
            <w:t xml:space="preserve"> alarmantes y cuales todavía no tanto</w:t>
          </w:r>
          <w:r w:rsidR="000B686B">
            <w:t xml:space="preserve">. </w:t>
          </w:r>
          <w:r w:rsidR="00B4331E">
            <w:t xml:space="preserve">Las Parras de </w:t>
          </w:r>
          <w:proofErr w:type="spellStart"/>
          <w:r w:rsidR="00B4331E">
            <w:t>Castellote</w:t>
          </w:r>
          <w:proofErr w:type="spellEnd"/>
          <w:r w:rsidR="00B4331E">
            <w:t xml:space="preserve"> (</w:t>
          </w:r>
          <w:r w:rsidR="0012353F">
            <w:t>1350%</w:t>
          </w:r>
          <w:r w:rsidR="00B4331E">
            <w:t xml:space="preserve">) es el municipio que mayor envejecimiento del grupo presenta situándose </w:t>
          </w:r>
          <w:r w:rsidR="000725D3">
            <w:t xml:space="preserve">en una </w:t>
          </w:r>
          <w:r w:rsidR="00B4331E">
            <w:t xml:space="preserve">posición </w:t>
          </w:r>
          <w:r w:rsidR="000725D3">
            <w:t xml:space="preserve"> alarmante en cuanto a la media de envejecimien</w:t>
          </w:r>
          <w:r w:rsidR="0012353F">
            <w:t>to de Aragón.</w:t>
          </w:r>
        </w:p>
        <w:p w:rsidR="005C032F" w:rsidRDefault="005C032F" w:rsidP="00DA6CCE">
          <w:pPr>
            <w:jc w:val="both"/>
          </w:pPr>
          <w:r>
            <w:tab/>
            <w:t>Respecto al envejecimiento también hemos querido analizar si precisamente, esta condición puede guardar relación con otra serie de variables como se muestran en los dos mapas a continuación, el paro y la masculinización de la población.</w:t>
          </w:r>
          <w:r w:rsidR="00923EF1" w:rsidRPr="00923EF1">
            <w:t xml:space="preserve"> </w:t>
          </w:r>
        </w:p>
        <w:p w:rsidR="005C032F" w:rsidRDefault="00E51691" w:rsidP="00452FBF">
          <w:pPr>
            <w:jc w:val="center"/>
          </w:pPr>
          <w:r>
            <w:pict>
              <v:shape id="_x0000_i1029" type="#_x0000_t75" style="width:322.4pt;height:455.2pt">
                <v:imagedata r:id="rId40" o:title="envej_paro"/>
              </v:shape>
            </w:pict>
          </w:r>
        </w:p>
        <w:p w:rsidR="00731030" w:rsidRDefault="005C032F" w:rsidP="00DA6CCE">
          <w:pPr>
            <w:jc w:val="both"/>
          </w:pPr>
          <w:r>
            <w:tab/>
            <w:t>En este primer mapa lo que encontramos es como a primera vista vemos que los lugares donde las tasas de envejecimiento son superiores muestran unas tasas de paro más bajas, lo cual es lógico ya que, el rasgo del envejecimiento implica población con edades altas, de los 65 en adelante, donde prácticamente el total poblacional ya está jubilado y evidentemente el paro apenas existe</w:t>
          </w:r>
          <w:r w:rsidR="00AB3ED5">
            <w:t>.</w:t>
          </w:r>
          <w:r w:rsidR="00D1226C">
            <w:t xml:space="preserve"> </w:t>
          </w:r>
        </w:p>
        <w:p w:rsidR="005C032F" w:rsidRDefault="005C032F" w:rsidP="00DA6CCE">
          <w:pPr>
            <w:jc w:val="both"/>
          </w:pPr>
          <w:r>
            <w:lastRenderedPageBreak/>
            <w:tab/>
            <w:t>En este segundo caso hemos querido establecer la relación entre la variable masculinidad y la tasa de envejecimiento para conocer si realmente los municipios que muestran altas tasas de envejecimiento son aquellos donde la tasa de masculinidad es mayor.</w:t>
          </w:r>
        </w:p>
        <w:p w:rsidR="005C032F" w:rsidRDefault="00E51691" w:rsidP="00452FBF">
          <w:pPr>
            <w:jc w:val="center"/>
          </w:pPr>
          <w:r>
            <w:pict>
              <v:shape id="_x0000_i1030" type="#_x0000_t75" style="width:424.8pt;height:561.6pt">
                <v:imagedata r:id="rId41" o:title="mascu_envejec"/>
              </v:shape>
            </w:pict>
          </w:r>
        </w:p>
        <w:p w:rsidR="005C032F" w:rsidRDefault="005C032F" w:rsidP="00DA6CCE">
          <w:pPr>
            <w:jc w:val="both"/>
          </w:pPr>
          <w:r>
            <w:tab/>
            <w:t xml:space="preserve">Al representar los valores de las variables en el mapa vemos como prácticamente las tasas de masculinidad </w:t>
          </w:r>
          <w:r w:rsidR="00923EF1">
            <w:t>son muy parecidas en todos los lugares y, aunque se reducen algo en aquellos municipios donde el índice de envejecimiento es menor, no podemos decir que exista una relación significativa  entre ambas variables.</w:t>
          </w:r>
        </w:p>
        <w:p w:rsidR="005C032F" w:rsidRDefault="00A870E9" w:rsidP="00DA6CCE">
          <w:pPr>
            <w:ind w:firstLine="708"/>
            <w:jc w:val="both"/>
          </w:pPr>
          <w:r>
            <w:lastRenderedPageBreak/>
            <w:t xml:space="preserve">Aparte de la cartografía más representativa a nivel demográfico hemos querido realizar una serie de mapas relacionados con los datos a nivel </w:t>
          </w:r>
          <w:r w:rsidRPr="00A870E9">
            <w:rPr>
              <w:b/>
            </w:rPr>
            <w:t>económico</w:t>
          </w:r>
          <w:r>
            <w:t xml:space="preserve"> que pueden mostrarnos las características específicas de cada área en cuanto a paro, altas a la seguridad social durante el periodo de septiembre de 2014 o el porcentaje de ocupación en cada uno de los sectores económicos sobre el total de actividades.</w:t>
          </w:r>
        </w:p>
        <w:p w:rsidR="00DA6CCE" w:rsidRDefault="00E51691" w:rsidP="00CE6A13">
          <w:pPr>
            <w:ind w:firstLine="426"/>
            <w:jc w:val="center"/>
          </w:pPr>
          <w:r>
            <w:rPr>
              <w:noProof/>
              <w:lang w:eastAsia="es-ES"/>
            </w:rPr>
            <w:pict>
              <v:shape id="_x0000_i1031" type="#_x0000_t75" style="width:396pt;height:467.2pt">
                <v:imagedata r:id="rId42" o:title="densidad_acteconom"/>
              </v:shape>
            </w:pict>
          </w:r>
        </w:p>
        <w:p w:rsidR="00DA6CCE" w:rsidRDefault="00DA6CCE" w:rsidP="0089418C">
          <w:pPr>
            <w:ind w:firstLine="708"/>
            <w:jc w:val="both"/>
          </w:pPr>
          <w:r>
            <w:t xml:space="preserve">En este primer mapa vemos una clara diferenciación en función de las diferentes actividades económicas desarrolladas en los municipios que se engloban en el grupo </w:t>
          </w:r>
          <w:r w:rsidR="00D0138C">
            <w:t>BAJO ARAGÓN MATARRAÑA</w:t>
          </w:r>
          <w:r w:rsidR="00BA3F5E">
            <w:t xml:space="preserve"> </w:t>
          </w:r>
          <w:r>
            <w:t xml:space="preserve">en función de su densidad. Según lo que podemos apreciar aquellos municipios donde la densidad es media o alta presenta un porcentaje de ocupación sobre el total de actividades mayor en el ámbito de los servicios. Prácticamente en todas las áreas incluso en aquellas donde la densidad de población es baja el porcentaje de ocupación en el sector servicios es mayor por lo que podemos decir que se trata de </w:t>
          </w:r>
          <w:r w:rsidRPr="00DA6CCE">
            <w:rPr>
              <w:b/>
            </w:rPr>
            <w:t>áreas terciarizadas.</w:t>
          </w:r>
          <w:r>
            <w:rPr>
              <w:b/>
            </w:rPr>
            <w:t xml:space="preserve"> </w:t>
          </w:r>
          <w:r w:rsidRPr="00DA6CCE">
            <w:t>Bien es cierto, que el porcentaje de ocupación en actividades pri</w:t>
          </w:r>
          <w:r w:rsidR="0089418C">
            <w:t>marias aumenta su peso respecto al del sector servicios en los municipios con densidades más bajas aunque nunca llega a superarlo.</w:t>
          </w:r>
        </w:p>
        <w:p w:rsidR="00F6732C" w:rsidRDefault="00E51691" w:rsidP="00DA6CCE">
          <w:pPr>
            <w:ind w:firstLine="284"/>
            <w:jc w:val="center"/>
          </w:pPr>
          <w:r>
            <w:lastRenderedPageBreak/>
            <w:pict>
              <v:shape id="_x0000_i1032" type="#_x0000_t75" style="width:408.8pt;height:578.4pt">
                <v:imagedata r:id="rId43" o:title="densi_paro"/>
              </v:shape>
            </w:pict>
          </w:r>
        </w:p>
        <w:p w:rsidR="00277627" w:rsidRPr="00592215" w:rsidRDefault="00B07BC3" w:rsidP="00BC2390">
          <w:pPr>
            <w:ind w:firstLine="284"/>
            <w:jc w:val="both"/>
          </w:pPr>
          <w:r w:rsidRPr="00B07BC3">
            <w:t xml:space="preserve">La </w:t>
          </w:r>
          <w:r w:rsidRPr="002E0141">
            <w:rPr>
              <w:b/>
            </w:rPr>
            <w:t>tasa de paro</w:t>
          </w:r>
          <w:r w:rsidR="00F6732C" w:rsidRPr="00B07BC3">
            <w:rPr>
              <w:b/>
              <w:color w:val="FF0000"/>
            </w:rPr>
            <w:t xml:space="preserve"> </w:t>
          </w:r>
          <w:r w:rsidR="00F6732C" w:rsidRPr="00B07BC3">
            <w:t>se trata de un indicador que muestra el porcentaje de población que se encuentra en ese momento sin trabajo y que está buscándolo</w:t>
          </w:r>
          <w:r>
            <w:t xml:space="preserve"> </w:t>
          </w:r>
          <w:r w:rsidRPr="00B07BC3">
            <w:rPr>
              <w:color w:val="000000"/>
            </w:rPr>
            <w:t>es decir, la población económicamente activa que no posee un trabajo.</w:t>
          </w:r>
          <w:r>
            <w:rPr>
              <w:color w:val="000000"/>
            </w:rPr>
            <w:t xml:space="preserve"> </w:t>
          </w:r>
          <w:r w:rsidR="00F6732C">
            <w:t>Como vemos en el mapa anterior la densidad sí que se trata de una variable que influye en la cantidad de paro en un determinado lugar. Lo cual hace lógicamente que, como podemos observar, sean aquellos municipios donde la densidad sea más baja los lugares donde la tasa de paro sea menor que en el resto.</w:t>
          </w:r>
          <w:r w:rsidR="00EB7E4E">
            <w:t xml:space="preserve"> </w:t>
          </w:r>
          <w:proofErr w:type="spellStart"/>
          <w:r w:rsidR="00D0138C">
            <w:t>Alcañiz</w:t>
          </w:r>
          <w:proofErr w:type="spellEnd"/>
          <w:r w:rsidR="00D0138C">
            <w:t xml:space="preserve"> (53,17%), </w:t>
          </w:r>
          <w:proofErr w:type="spellStart"/>
          <w:r w:rsidR="00D0138C">
            <w:t>Calanda</w:t>
          </w:r>
          <w:proofErr w:type="spellEnd"/>
          <w:r w:rsidR="00D0138C">
            <w:t xml:space="preserve"> (10,08%) y </w:t>
          </w:r>
          <w:proofErr w:type="spellStart"/>
          <w:r w:rsidR="00D0138C">
            <w:t>Alcorisa</w:t>
          </w:r>
          <w:proofErr w:type="spellEnd"/>
          <w:r w:rsidR="00D0138C">
            <w:t xml:space="preserve"> (9,09%) </w:t>
          </w:r>
          <w:r w:rsidR="00B55AEC">
            <w:t>son los</w:t>
          </w:r>
          <w:r w:rsidR="00F74E34">
            <w:t xml:space="preserve"> municipio</w:t>
          </w:r>
          <w:r w:rsidR="00B55AEC">
            <w:t>s</w:t>
          </w:r>
          <w:r w:rsidR="00EB7E4E">
            <w:t xml:space="preserve"> que </w:t>
          </w:r>
          <w:r w:rsidR="00F74E34">
            <w:t>mayor tasa de paro presenta</w:t>
          </w:r>
          <w:r w:rsidR="00B55AEC">
            <w:t>n</w:t>
          </w:r>
          <w:r w:rsidR="00F74E34">
            <w:t xml:space="preserve"> </w:t>
          </w:r>
          <w:r w:rsidR="00EB7E4E">
            <w:t xml:space="preserve"> de todo el grupo</w:t>
          </w:r>
          <w:r w:rsidR="00D0138C">
            <w:t xml:space="preserve"> BAJO ARAGÓN MATARRAÑA</w:t>
          </w:r>
          <w:r w:rsidR="00093C75">
            <w:t>.</w:t>
          </w:r>
        </w:p>
        <w:p w:rsidR="005047FE" w:rsidRDefault="00DA6CCE" w:rsidP="00DA6CCE">
          <w:pPr>
            <w:ind w:firstLine="284"/>
            <w:jc w:val="both"/>
          </w:pPr>
          <w:r>
            <w:lastRenderedPageBreak/>
            <w:t xml:space="preserve">Pero, más allá de lo que sería conocer la tasa de paro total sobre la densidad de población en el grupo </w:t>
          </w:r>
          <w:r w:rsidR="00BC2390">
            <w:t>BAJO ARAGÓN MATARRAÑA</w:t>
          </w:r>
          <w:r w:rsidR="00502CCF">
            <w:t xml:space="preserve"> </w:t>
          </w:r>
          <w:r>
            <w:t>también hemos querido realizar un desglose de esta variable cartografiando un mapa que relaciona la tasa de paro de hombres y mujeres sobre la densidad, otro referido a la tasa de feminidad sobre el total de paro en mujeres y, por último otro que muestra la relación entre la tasa de masculinidad y el paro en hombres.</w:t>
          </w:r>
        </w:p>
      </w:sdtContent>
    </w:sdt>
    <w:p w:rsidR="003B3FA0" w:rsidRDefault="00E51691" w:rsidP="00452FBF">
      <w:pPr>
        <w:jc w:val="center"/>
      </w:pPr>
      <w:r>
        <w:pict>
          <v:shape id="_x0000_i1033" type="#_x0000_t75" style="width:381.6pt;height:514.4pt">
            <v:imagedata r:id="rId44" o:title="densi_parohommuj"/>
          </v:shape>
        </w:pict>
      </w:r>
    </w:p>
    <w:p w:rsidR="00452FBF" w:rsidRDefault="00452FBF" w:rsidP="00452FBF">
      <w:pPr>
        <w:jc w:val="both"/>
      </w:pPr>
      <w:r>
        <w:tab/>
        <w:t xml:space="preserve">En este caso vemos como al establecer la diferenciación en el paro de hombres y mujeres encontramos </w:t>
      </w:r>
      <w:r w:rsidR="00B636B4">
        <w:t xml:space="preserve">como </w:t>
      </w:r>
      <w:r w:rsidR="00BC2390">
        <w:t xml:space="preserve">la mayor parte de municipios presenta cifras de paro superiores en mujeres que en hombres a excepción de los municipios </w:t>
      </w:r>
      <w:proofErr w:type="spellStart"/>
      <w:r w:rsidR="00BC2390">
        <w:t>Alcorisa</w:t>
      </w:r>
      <w:proofErr w:type="spellEnd"/>
      <w:r w:rsidR="00BC2390">
        <w:t xml:space="preserve">, </w:t>
      </w:r>
      <w:proofErr w:type="spellStart"/>
      <w:r w:rsidR="00BC2390">
        <w:t>Arens</w:t>
      </w:r>
      <w:proofErr w:type="spellEnd"/>
      <w:r w:rsidR="00BC2390">
        <w:t xml:space="preserve"> de Lledó, </w:t>
      </w:r>
      <w:proofErr w:type="spellStart"/>
      <w:r w:rsidR="00BC2390">
        <w:t>Beceite</w:t>
      </w:r>
      <w:proofErr w:type="spellEnd"/>
      <w:r w:rsidR="00BC2390">
        <w:t xml:space="preserve">, </w:t>
      </w:r>
      <w:proofErr w:type="spellStart"/>
      <w:r w:rsidR="00BC2390">
        <w:t>Calaceite</w:t>
      </w:r>
      <w:proofErr w:type="spellEnd"/>
      <w:r w:rsidR="00BC2390">
        <w:t xml:space="preserve">, </w:t>
      </w:r>
      <w:proofErr w:type="spellStart"/>
      <w:r w:rsidR="00BC2390">
        <w:t>Calanda</w:t>
      </w:r>
      <w:proofErr w:type="spellEnd"/>
      <w:r w:rsidR="00BC2390">
        <w:t xml:space="preserve">, </w:t>
      </w:r>
      <w:proofErr w:type="spellStart"/>
      <w:r w:rsidR="00BC2390">
        <w:t>Castelserás</w:t>
      </w:r>
      <w:proofErr w:type="spellEnd"/>
      <w:r w:rsidR="00BC2390">
        <w:t xml:space="preserve">, Cretas, </w:t>
      </w:r>
      <w:proofErr w:type="spellStart"/>
      <w:r w:rsidR="00BC2390">
        <w:t>Fórnoles</w:t>
      </w:r>
      <w:proofErr w:type="spellEnd"/>
      <w:r w:rsidR="00BC2390">
        <w:t xml:space="preserve">, </w:t>
      </w:r>
      <w:proofErr w:type="spellStart"/>
      <w:r w:rsidR="00BC2390">
        <w:t>Fuentespalda</w:t>
      </w:r>
      <w:proofErr w:type="spellEnd"/>
      <w:r w:rsidR="00BC2390">
        <w:t xml:space="preserve">, La </w:t>
      </w:r>
      <w:proofErr w:type="spellStart"/>
      <w:r w:rsidR="00BC2390">
        <w:t>Codoñera</w:t>
      </w:r>
      <w:proofErr w:type="spellEnd"/>
      <w:r w:rsidR="00BC2390">
        <w:t xml:space="preserve">, La Fresneda, Mas de las matas, </w:t>
      </w:r>
      <w:proofErr w:type="spellStart"/>
      <w:r w:rsidR="00BC2390">
        <w:t>Mazaleón</w:t>
      </w:r>
      <w:proofErr w:type="spellEnd"/>
      <w:r w:rsidR="00BC2390">
        <w:t xml:space="preserve">, </w:t>
      </w:r>
      <w:proofErr w:type="spellStart"/>
      <w:r w:rsidR="00BC2390">
        <w:t>Monroyo</w:t>
      </w:r>
      <w:proofErr w:type="spellEnd"/>
      <w:r w:rsidR="00BC2390">
        <w:t xml:space="preserve"> y </w:t>
      </w:r>
      <w:proofErr w:type="spellStart"/>
      <w:r w:rsidR="00BC2390">
        <w:t>Valderrobres</w:t>
      </w:r>
      <w:proofErr w:type="spellEnd"/>
      <w:r w:rsidR="00BC2390">
        <w:t>.</w:t>
      </w:r>
    </w:p>
    <w:p w:rsidR="00A954F5" w:rsidRDefault="00A954F5" w:rsidP="00A954F5">
      <w:pPr>
        <w:ind w:firstLine="708"/>
        <w:jc w:val="both"/>
      </w:pPr>
      <w:r>
        <w:lastRenderedPageBreak/>
        <w:t xml:space="preserve">En cuanto a la tasa de feminidad respecto a la tasa de paro en mujeres, podemos ver como en el mapa apenas se aprecian áreas con tasas de paro elevadas en mujeres a excepción del caso de  </w:t>
      </w:r>
      <w:proofErr w:type="spellStart"/>
      <w:r w:rsidR="00531402">
        <w:t>Alcañiz</w:t>
      </w:r>
      <w:proofErr w:type="spellEnd"/>
      <w:r w:rsidR="00531402">
        <w:t xml:space="preserve"> (26,29%), </w:t>
      </w:r>
      <w:proofErr w:type="spellStart"/>
      <w:r w:rsidR="00531402">
        <w:t>Alcorisa</w:t>
      </w:r>
      <w:proofErr w:type="spellEnd"/>
      <w:r w:rsidR="00531402">
        <w:t xml:space="preserve"> (4,21%) y </w:t>
      </w:r>
      <w:proofErr w:type="spellStart"/>
      <w:r w:rsidR="00531402">
        <w:t>Calanda</w:t>
      </w:r>
      <w:proofErr w:type="spellEnd"/>
      <w:r w:rsidR="00531402">
        <w:t xml:space="preserve"> (4,14%).</w:t>
      </w:r>
    </w:p>
    <w:p w:rsidR="00B522B6" w:rsidRDefault="00E51691" w:rsidP="006C1ADA">
      <w:pPr>
        <w:jc w:val="center"/>
      </w:pPr>
      <w:r>
        <w:pict>
          <v:shape id="_x0000_i1034" type="#_x0000_t75" style="width:424.8pt;height:600.8pt">
            <v:imagedata r:id="rId45" o:title="paro muj_femini"/>
          </v:shape>
        </w:pict>
      </w:r>
    </w:p>
    <w:p w:rsidR="00BF1814" w:rsidRDefault="00BF1814" w:rsidP="006C1ADA">
      <w:pPr>
        <w:jc w:val="center"/>
      </w:pPr>
    </w:p>
    <w:p w:rsidR="00BF1814" w:rsidRDefault="00BF1814" w:rsidP="006C1ADA">
      <w:pPr>
        <w:jc w:val="center"/>
      </w:pPr>
    </w:p>
    <w:p w:rsidR="00A954F5" w:rsidRDefault="00A954F5" w:rsidP="00A954F5">
      <w:pPr>
        <w:ind w:firstLine="708"/>
        <w:jc w:val="both"/>
      </w:pPr>
      <w:r>
        <w:lastRenderedPageBreak/>
        <w:t xml:space="preserve">Por otro lado vemos el mapa referente a la tasa de masculinidad respecto a la tasa de paro en hombres </w:t>
      </w:r>
      <w:r w:rsidR="006958DB">
        <w:t>y, lo que observamo</w:t>
      </w:r>
      <w:r w:rsidR="00DB2C44">
        <w:t>s es que, en su mayoría</w:t>
      </w:r>
      <w:r w:rsidR="00B522B6">
        <w:t xml:space="preserve">, </w:t>
      </w:r>
      <w:r w:rsidR="00806846">
        <w:t xml:space="preserve">las mayores tasas de paro se concentran en las áreas donde existe una densidad de población media-alta o alta. Aquellos municipios que presentan las mayores cifras de paro en hombres son: </w:t>
      </w:r>
      <w:proofErr w:type="spellStart"/>
      <w:r w:rsidR="001D768D">
        <w:t>Alcañiz</w:t>
      </w:r>
      <w:proofErr w:type="spellEnd"/>
      <w:r w:rsidR="001D768D">
        <w:t xml:space="preserve"> (26,87%), </w:t>
      </w:r>
      <w:proofErr w:type="spellStart"/>
      <w:r w:rsidR="001D768D">
        <w:t>Calanda</w:t>
      </w:r>
      <w:proofErr w:type="spellEnd"/>
      <w:r w:rsidR="001D768D">
        <w:t xml:space="preserve"> (5,94%) y </w:t>
      </w:r>
      <w:proofErr w:type="spellStart"/>
      <w:r w:rsidR="001D768D">
        <w:t>Alcorisa</w:t>
      </w:r>
      <w:proofErr w:type="spellEnd"/>
      <w:r w:rsidR="001D768D">
        <w:t xml:space="preserve"> (4,87%).</w:t>
      </w:r>
    </w:p>
    <w:p w:rsidR="006958DB" w:rsidRDefault="00E51691" w:rsidP="007C3A15">
      <w:pPr>
        <w:jc w:val="center"/>
      </w:pPr>
      <w:r>
        <w:pict>
          <v:shape id="_x0000_i1035" type="#_x0000_t75" style="width:424.8pt;height:600.8pt">
            <v:imagedata r:id="rId46" o:title="mascu_paro_hom"/>
          </v:shape>
        </w:pict>
      </w:r>
    </w:p>
    <w:p w:rsidR="0010130B" w:rsidRDefault="0010130B" w:rsidP="00591C12"/>
    <w:p w:rsidR="006E4407" w:rsidRDefault="0010130B" w:rsidP="00A744E6">
      <w:pPr>
        <w:ind w:firstLine="993"/>
        <w:jc w:val="both"/>
      </w:pPr>
      <w:r>
        <w:lastRenderedPageBreak/>
        <w:t xml:space="preserve">Otra última relación que nos resultó interesante a la hora de realizar el análisis sobre </w:t>
      </w:r>
      <w:r w:rsidR="001F60B6">
        <w:t xml:space="preserve">la tasa de paro en el grupo </w:t>
      </w:r>
      <w:r w:rsidR="00A36B27">
        <w:t xml:space="preserve">BAJO ARAGÓN MATARRAÑA </w:t>
      </w:r>
      <w:r w:rsidR="00A51B0F">
        <w:t xml:space="preserve"> </w:t>
      </w:r>
      <w:r>
        <w:t>fue la del paro total y la tasa de masculinidad</w:t>
      </w:r>
      <w:r w:rsidRPr="0010130B">
        <w:t xml:space="preserve"> </w:t>
      </w:r>
      <w:r w:rsidR="00A744E6">
        <w:t xml:space="preserve">de cada </w:t>
      </w:r>
      <w:r>
        <w:t xml:space="preserve">municipio. </w:t>
      </w:r>
    </w:p>
    <w:p w:rsidR="0010130B" w:rsidRDefault="00E51691" w:rsidP="00920468">
      <w:pPr>
        <w:ind w:firstLine="567"/>
        <w:jc w:val="both"/>
      </w:pPr>
      <w:r>
        <w:pict>
          <v:shape id="_x0000_i1036" type="#_x0000_t75" style="width:424.8pt;height:600.8pt">
            <v:imagedata r:id="rId47" o:title="mascu_paro"/>
          </v:shape>
        </w:pict>
      </w:r>
    </w:p>
    <w:p w:rsidR="00A51B0F" w:rsidRDefault="0010130B" w:rsidP="00600947">
      <w:pPr>
        <w:ind w:firstLine="708"/>
        <w:jc w:val="both"/>
      </w:pPr>
      <w:r>
        <w:t xml:space="preserve">Al relacionar estas variables observamos como las áreas con una tasa de masculinidad </w:t>
      </w:r>
      <w:r w:rsidR="005014DE">
        <w:t>media</w:t>
      </w:r>
      <w:r w:rsidR="00A36B27">
        <w:t xml:space="preserve"> o media-alta</w:t>
      </w:r>
      <w:r w:rsidR="00A51B0F">
        <w:t xml:space="preserve"> presentan valores de paro mayores.</w:t>
      </w:r>
    </w:p>
    <w:p w:rsidR="00920468" w:rsidRDefault="00F00975" w:rsidP="00920468">
      <w:pPr>
        <w:ind w:firstLine="708"/>
        <w:jc w:val="both"/>
      </w:pPr>
      <w:r>
        <w:lastRenderedPageBreak/>
        <w:t xml:space="preserve">Por último hemos analizado otro indicador a nivel económico para cada municipio referente a las diferencias en la cantidad de </w:t>
      </w:r>
      <w:r w:rsidRPr="002C3354">
        <w:rPr>
          <w:b/>
        </w:rPr>
        <w:t xml:space="preserve">altas a la seguridad social </w:t>
      </w:r>
      <w:r>
        <w:t>en hombres y mujeres durante el periodo del mes de septiembre del año 2014</w:t>
      </w:r>
      <w:r w:rsidR="002C3354">
        <w:t xml:space="preserve">. </w:t>
      </w:r>
    </w:p>
    <w:p w:rsidR="00920468" w:rsidRDefault="00E51691" w:rsidP="001F60B6">
      <w:pPr>
        <w:jc w:val="both"/>
      </w:pPr>
      <w:r>
        <w:pict>
          <v:shape id="_x0000_i1037" type="#_x0000_t75" style="width:391.2pt;height:559.2pt">
            <v:imagedata r:id="rId48" o:title="altassshommuj_densi"/>
          </v:shape>
        </w:pict>
      </w:r>
    </w:p>
    <w:p w:rsidR="007C3A15" w:rsidRDefault="004E34E8" w:rsidP="001F60B6">
      <w:pPr>
        <w:ind w:firstLine="424"/>
        <w:jc w:val="both"/>
      </w:pPr>
      <w:r>
        <w:t xml:space="preserve">Analizando el mapa vemos como </w:t>
      </w:r>
      <w:r w:rsidR="00B83F8E">
        <w:t xml:space="preserve">casi </w:t>
      </w:r>
      <w:r w:rsidR="0069681C">
        <w:t xml:space="preserve">todos los municipios muestran </w:t>
      </w:r>
      <w:r w:rsidR="00920468">
        <w:t xml:space="preserve">una clara mayoría de altas a la </w:t>
      </w:r>
      <w:r w:rsidR="0069681C">
        <w:t>seguridad social durante el periodo de septiembre de 2014 en hombres respecto a mujeres</w:t>
      </w:r>
      <w:r w:rsidR="00A36B27">
        <w:t>.</w:t>
      </w:r>
    </w:p>
    <w:sectPr w:rsidR="007C3A15" w:rsidSect="00EC5221">
      <w:headerReference w:type="default" r:id="rId49"/>
      <w:footerReference w:type="default" r:id="rId50"/>
      <w:pgSz w:w="11906" w:h="16838"/>
      <w:pgMar w:top="1417" w:right="1701" w:bottom="568"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402" w:rsidRDefault="00496402" w:rsidP="005047FE">
      <w:pPr>
        <w:spacing w:after="0" w:line="240" w:lineRule="auto"/>
      </w:pPr>
      <w:r>
        <w:separator/>
      </w:r>
    </w:p>
  </w:endnote>
  <w:endnote w:type="continuationSeparator" w:id="0">
    <w:p w:rsidR="00496402" w:rsidRDefault="00496402" w:rsidP="0050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427773"/>
      <w:docPartObj>
        <w:docPartGallery w:val="Page Numbers (Bottom of Page)"/>
        <w:docPartUnique/>
      </w:docPartObj>
    </w:sdtPr>
    <w:sdtEndPr/>
    <w:sdtContent>
      <w:p w:rsidR="005047FE" w:rsidRDefault="005047FE">
        <w:pPr>
          <w:pStyle w:val="Piedepgina"/>
        </w:pPr>
        <w:r>
          <w:rPr>
            <w:noProof/>
            <w:lang w:eastAsia="es-ES"/>
          </w:rPr>
          <mc:AlternateContent>
            <mc:Choice Requires="wpg">
              <w:drawing>
                <wp:anchor distT="0" distB="0" distL="114300" distR="114300" simplePos="0" relativeHeight="251659264" behindDoc="0" locked="0" layoutInCell="0" allowOverlap="1" wp14:anchorId="5BA1ECCC" wp14:editId="6E0644A5">
                  <wp:simplePos x="0" y="0"/>
                  <wp:positionH relativeFrom="rightMargin">
                    <wp:align>left</wp:align>
                  </wp:positionH>
                  <wp:positionV relativeFrom="margin">
                    <wp:align>bottom</wp:align>
                  </wp:positionV>
                  <wp:extent cx="904875" cy="1902460"/>
                  <wp:effectExtent l="0" t="0" r="9525" b="12065"/>
                  <wp:wrapNone/>
                  <wp:docPr id="528" name="Grupo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529" name="Group 529"/>
                          <wpg:cNvGrpSpPr>
                            <a:grpSpLocks/>
                          </wpg:cNvGrpSpPr>
                          <wpg:grpSpPr bwMode="auto">
                            <a:xfrm flipV="1">
                              <a:off x="13" y="14340"/>
                              <a:ext cx="1410" cy="71"/>
                              <a:chOff x="-83" y="540"/>
                              <a:chExt cx="1218" cy="71"/>
                            </a:xfrm>
                          </wpg:grpSpPr>
                          <wps:wsp>
                            <wps:cNvPr id="530" name="Rectangle 530"/>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531"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32" name="Rectangle 532"/>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E51691" w:rsidRPr="00E51691">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12</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id="Grupo 528" o:spid="_x0000_s1029" style="position:absolute;margin-left:0;margin-top:0;width:71.25pt;height:149.8pt;flip:x;z-index:251659264;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" o:allowincell="f">
                  <v:group id="Group 529" o:spid="_x0000_s1030"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IxgMMAAADcAAAADwAAAGRycy9kb3ducmV2LnhtbESPQWvCQBSE7wX/w/IE&#10;b3WjpKKpq4hgkeLF2IrHR/Y1Wcy+Ddmtxn/vCoLHYWa+YebLztbiQq03jhWMhgkI4sJpw6WCn8Pm&#10;fQrCB2SNtWNScCMPy0XvbY6Zdlfe0yUPpYgQ9hkqqEJoMil9UZFFP3QNcfT+XGsxRNmWUrd4jXBb&#10;y3GSTKRFw3GhwobWFRXn/N8q+F2ZlNLj6XuXFERbLU9fuUmVGvS71SeIQF14hZ/trVbwMZ7B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YjGAwwAAANwAAAAP&#10;AAAAAAAAAAAAAAAAAKoCAABkcnMvZG93bnJldi54bWxQSwUGAAAAAAQABAD6AAAAmgMAAAAA&#10;">
                    <v:rect id="Rectangle 530" o:spid="_x0000_s1031"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gGcMA&#10;AADcAAAADwAAAGRycy9kb3ducmV2LnhtbERPS2vCQBC+F/oflin0Vje2VDS6ipRWCkrFF16H7JjE&#10;ZmfS7DbGf989CD1+fO/JrHOVaqnxpbCBfi8BRZyJLTk3sN99PA1B+YBssRImA1fyMJve300wtXLh&#10;DbXbkKsYwj5FA0UIdaq1zwpy6HtSE0fuJI3DEGGTa9vgJYa7Sj8nyUA7LDk2FFjTW0HZ9/bXGTjL&#10;UdrDl6xXqx9K3s/zxXq0XBjz+NDNx6ACdeFffHN/WgOvL3F+PBOP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fgGcMAAADcAAAADwAAAAAAAAAAAAAAAACYAgAAZHJzL2Rv&#10;d25yZXYueG1sUEsFBgAAAAAEAAQA9QAAAIgDAAAAAA==&#10;" fillcolor="#5f497a" strokecolor="#5f497a"/>
                    <v:shapetype id="_x0000_t32" coordsize="21600,21600" o:spt="32" o:oned="t" path="m,l21600,21600e" filled="f">
                      <v:path arrowok="t" fillok="f" o:connecttype="none"/>
                      <o:lock v:ext="edit" shapetype="t"/>
                    </v:shapetype>
                    <v:shape id="AutoShape 4" o:spid="_x0000_s1032"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Sg3sUAAADcAAAADwAAAGRycy9kb3ducmV2LnhtbESP3WrCQBSE74W+w3IK3ojZqFhKdJUi&#10;CLlrjX2A0+zJT5s9m2Y3P+3Tu4WCl8PMfMPsj5NpxECdqy0rWEUxCOLc6ppLBe/X8/IZhPPIGhvL&#10;pOCHHBwPD7M9JtqOfKEh86UIEHYJKqi8bxMpXV6RQRfZljh4he0M+iC7UuoOxwA3jVzH8ZM0WHNY&#10;qLClU0X5V9YbBXaRfp/kB3/202+73uTF22uajUrNH6eXHQhPk7+H/9upVrDdrODvTDgC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Sg3sUAAADcAAAADwAAAAAAAAAA&#10;AAAAAAChAgAAZHJzL2Rvd25yZXYueG1sUEsFBgAAAAAEAAQA+QAAAJMDAAAAAA==&#10;" strokecolor="#5f497a"/>
                  </v:group>
                  <v:rect id="Rectangle 532" o:spid="_x0000_s1033"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fgMUA&#10;AADcAAAADwAAAGRycy9kb3ducmV2LnhtbESPQWvCQBSE7wX/w/KE3upGg0VSV5GAYik91GrPz+wz&#10;Ccm+Dbtrkv77bqHQ4zAz3zDr7Wha0ZPztWUF81kCgriwuuZSwflz/7QC4QOyxtYyKfgmD9vN5GGN&#10;mbYDf1B/CqWIEPYZKqhC6DIpfVGRQT+zHXH0btYZDFG6UmqHQ4SbVi6S5FkarDkuVNhRXlHRnO5G&#10;wVe/0ng9mr279Onh9X15zQ/Nm1KP03H3AiLQGP7Df+2jVrBM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R+AxQAAANwAAAAPAAAAAAAAAAAAAAAAAJgCAABkcnMv&#10;ZG93bnJldi54bWxQSwUGAAAAAAQABAD1AAAAigMAAAAA&#10;" stroked="f">
                    <v:textbox style="layout-flow:vertical" inset="0,0,0,0">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E51691" w:rsidRPr="00E51691">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12</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402" w:rsidRDefault="00496402" w:rsidP="005047FE">
      <w:pPr>
        <w:spacing w:after="0" w:line="240" w:lineRule="auto"/>
      </w:pPr>
      <w:r>
        <w:separator/>
      </w:r>
    </w:p>
  </w:footnote>
  <w:footnote w:type="continuationSeparator" w:id="0">
    <w:p w:rsidR="00496402" w:rsidRDefault="00496402" w:rsidP="005047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7412"/>
      <w:gridCol w:w="1308"/>
    </w:tblGrid>
    <w:tr w:rsidR="005047FE">
      <w:trPr>
        <w:trHeight w:val="475"/>
      </w:trPr>
      <w:sdt>
        <w:sdtPr>
          <w:rPr>
            <w:caps/>
            <w:color w:val="FFFFFF" w:themeColor="background1"/>
          </w:rPr>
          <w:alias w:val="Título"/>
          <w:id w:val="78273368"/>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rsidR="005047FE" w:rsidRDefault="0049474D" w:rsidP="00CD1578">
              <w:pPr>
                <w:pStyle w:val="Encabezado"/>
                <w:jc w:val="center"/>
                <w:rPr>
                  <w:caps/>
                  <w:color w:val="FFFFFF" w:themeColor="background1"/>
                </w:rPr>
              </w:pPr>
              <w:r>
                <w:rPr>
                  <w:caps/>
                  <w:color w:val="FFFFFF" w:themeColor="background1"/>
                </w:rPr>
                <w:t>Caracterización territorial de Bajo Aragón-Matarraña</w:t>
              </w:r>
            </w:p>
          </w:tc>
        </w:sdtContent>
      </w:sdt>
      <w:tc>
        <w:tcPr>
          <w:tcW w:w="750" w:type="pct"/>
          <w:shd w:val="clear" w:color="auto" w:fill="000000" w:themeFill="text1"/>
          <w:vAlign w:val="center"/>
        </w:tcPr>
        <w:p w:rsidR="005047FE" w:rsidRDefault="005047FE" w:rsidP="005047FE">
          <w:pPr>
            <w:pStyle w:val="Encabezado"/>
            <w:jc w:val="right"/>
            <w:rPr>
              <w:color w:val="FFFFFF" w:themeColor="background1"/>
            </w:rPr>
          </w:pPr>
        </w:p>
      </w:tc>
    </w:tr>
  </w:tbl>
  <w:p w:rsidR="005047FE" w:rsidRDefault="005047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4D23"/>
    <w:multiLevelType w:val="hybridMultilevel"/>
    <w:tmpl w:val="37B458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8A2CE3"/>
    <w:multiLevelType w:val="hybridMultilevel"/>
    <w:tmpl w:val="7DF23F3A"/>
    <w:lvl w:ilvl="0" w:tplc="0C0A0001">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nsid w:val="0DF76E2D"/>
    <w:multiLevelType w:val="hybridMultilevel"/>
    <w:tmpl w:val="1D9A167E"/>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D4F0F58"/>
    <w:multiLevelType w:val="hybridMultilevel"/>
    <w:tmpl w:val="C92EA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64C5C2E"/>
    <w:multiLevelType w:val="hybridMultilevel"/>
    <w:tmpl w:val="402E81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E49432B"/>
    <w:multiLevelType w:val="hybridMultilevel"/>
    <w:tmpl w:val="C892414E"/>
    <w:lvl w:ilvl="0" w:tplc="0C0A0003">
      <w:start w:val="1"/>
      <w:numFmt w:val="bullet"/>
      <w:lvlText w:val="o"/>
      <w:lvlJc w:val="left"/>
      <w:pPr>
        <w:ind w:left="1146" w:hanging="360"/>
      </w:pPr>
      <w:rPr>
        <w:rFonts w:ascii="Courier New" w:hAnsi="Courier New" w:cs="Courier New"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nsid w:val="4A992637"/>
    <w:multiLevelType w:val="hybridMultilevel"/>
    <w:tmpl w:val="80B04EFE"/>
    <w:lvl w:ilvl="0" w:tplc="0C0A0003">
      <w:start w:val="1"/>
      <w:numFmt w:val="bullet"/>
      <w:lvlText w:val="o"/>
      <w:lvlJc w:val="left"/>
      <w:pPr>
        <w:ind w:left="1506" w:hanging="360"/>
      </w:pPr>
      <w:rPr>
        <w:rFonts w:ascii="Courier New" w:hAnsi="Courier New" w:cs="Courier New"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7">
    <w:nsid w:val="5039701B"/>
    <w:multiLevelType w:val="hybridMultilevel"/>
    <w:tmpl w:val="FA16E9E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52DA35F3"/>
    <w:multiLevelType w:val="hybridMultilevel"/>
    <w:tmpl w:val="236A18E0"/>
    <w:lvl w:ilvl="0" w:tplc="0C0A0005">
      <w:start w:val="1"/>
      <w:numFmt w:val="bullet"/>
      <w:lvlText w:val=""/>
      <w:lvlJc w:val="left"/>
      <w:pPr>
        <w:ind w:left="1506" w:hanging="360"/>
      </w:pPr>
      <w:rPr>
        <w:rFonts w:ascii="Wingdings" w:hAnsi="Wingdings"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9">
    <w:nsid w:val="748F6EE8"/>
    <w:multiLevelType w:val="hybridMultilevel"/>
    <w:tmpl w:val="FD622EB8"/>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0">
    <w:nsid w:val="773A3E03"/>
    <w:multiLevelType w:val="hybridMultilevel"/>
    <w:tmpl w:val="F0F6C66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5"/>
  </w:num>
  <w:num w:numId="6">
    <w:abstractNumId w:val="9"/>
  </w:num>
  <w:num w:numId="7">
    <w:abstractNumId w:val="1"/>
  </w:num>
  <w:num w:numId="8">
    <w:abstractNumId w:val="4"/>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599"/>
    <w:rsid w:val="00004790"/>
    <w:rsid w:val="0000722B"/>
    <w:rsid w:val="000218A7"/>
    <w:rsid w:val="000507AF"/>
    <w:rsid w:val="00055955"/>
    <w:rsid w:val="00064503"/>
    <w:rsid w:val="00070D7B"/>
    <w:rsid w:val="000725D3"/>
    <w:rsid w:val="00077359"/>
    <w:rsid w:val="00085C12"/>
    <w:rsid w:val="00093C75"/>
    <w:rsid w:val="000A6D47"/>
    <w:rsid w:val="000B4043"/>
    <w:rsid w:val="000B686B"/>
    <w:rsid w:val="000E2003"/>
    <w:rsid w:val="000E24E8"/>
    <w:rsid w:val="0010130B"/>
    <w:rsid w:val="00106908"/>
    <w:rsid w:val="0011532C"/>
    <w:rsid w:val="00122850"/>
    <w:rsid w:val="0012353F"/>
    <w:rsid w:val="00162BD4"/>
    <w:rsid w:val="00172F65"/>
    <w:rsid w:val="00173249"/>
    <w:rsid w:val="00183475"/>
    <w:rsid w:val="00187242"/>
    <w:rsid w:val="00190C45"/>
    <w:rsid w:val="00191788"/>
    <w:rsid w:val="00195345"/>
    <w:rsid w:val="001D768D"/>
    <w:rsid w:val="001F60B6"/>
    <w:rsid w:val="0020383E"/>
    <w:rsid w:val="0022169C"/>
    <w:rsid w:val="00226733"/>
    <w:rsid w:val="00247F9F"/>
    <w:rsid w:val="00264FE6"/>
    <w:rsid w:val="002655BE"/>
    <w:rsid w:val="00273C95"/>
    <w:rsid w:val="002748A7"/>
    <w:rsid w:val="0027612C"/>
    <w:rsid w:val="00277627"/>
    <w:rsid w:val="00286287"/>
    <w:rsid w:val="00286C91"/>
    <w:rsid w:val="00287406"/>
    <w:rsid w:val="002A1ADA"/>
    <w:rsid w:val="002C3354"/>
    <w:rsid w:val="002D6CE0"/>
    <w:rsid w:val="002E0141"/>
    <w:rsid w:val="002E3D44"/>
    <w:rsid w:val="003022EF"/>
    <w:rsid w:val="00306056"/>
    <w:rsid w:val="003431C8"/>
    <w:rsid w:val="00347641"/>
    <w:rsid w:val="003729DC"/>
    <w:rsid w:val="0037571B"/>
    <w:rsid w:val="00377BFD"/>
    <w:rsid w:val="00384351"/>
    <w:rsid w:val="003A36B8"/>
    <w:rsid w:val="003B3FA0"/>
    <w:rsid w:val="003D4E91"/>
    <w:rsid w:val="003E0431"/>
    <w:rsid w:val="003F3E4A"/>
    <w:rsid w:val="004015F0"/>
    <w:rsid w:val="004105C6"/>
    <w:rsid w:val="00416E44"/>
    <w:rsid w:val="00424122"/>
    <w:rsid w:val="00425194"/>
    <w:rsid w:val="00452FBF"/>
    <w:rsid w:val="00460D1F"/>
    <w:rsid w:val="004722D5"/>
    <w:rsid w:val="00482A0A"/>
    <w:rsid w:val="0048770D"/>
    <w:rsid w:val="0049474D"/>
    <w:rsid w:val="00496402"/>
    <w:rsid w:val="004B1F14"/>
    <w:rsid w:val="004E34E8"/>
    <w:rsid w:val="005014DE"/>
    <w:rsid w:val="00502CCF"/>
    <w:rsid w:val="005047FE"/>
    <w:rsid w:val="005270C3"/>
    <w:rsid w:val="00531402"/>
    <w:rsid w:val="00533C22"/>
    <w:rsid w:val="00565BB1"/>
    <w:rsid w:val="00565FA9"/>
    <w:rsid w:val="00591C12"/>
    <w:rsid w:val="00591CE7"/>
    <w:rsid w:val="00592215"/>
    <w:rsid w:val="005A1F78"/>
    <w:rsid w:val="005A5F81"/>
    <w:rsid w:val="005B7974"/>
    <w:rsid w:val="005C032F"/>
    <w:rsid w:val="005C7A73"/>
    <w:rsid w:val="005D76AA"/>
    <w:rsid w:val="005E1E26"/>
    <w:rsid w:val="005F081D"/>
    <w:rsid w:val="005F110C"/>
    <w:rsid w:val="005F2FC9"/>
    <w:rsid w:val="00600947"/>
    <w:rsid w:val="006032D4"/>
    <w:rsid w:val="00625167"/>
    <w:rsid w:val="006256A1"/>
    <w:rsid w:val="00641D40"/>
    <w:rsid w:val="0064433B"/>
    <w:rsid w:val="00660D14"/>
    <w:rsid w:val="006622A5"/>
    <w:rsid w:val="00677B14"/>
    <w:rsid w:val="006958DB"/>
    <w:rsid w:val="00695C58"/>
    <w:rsid w:val="0069616A"/>
    <w:rsid w:val="0069681C"/>
    <w:rsid w:val="006A183E"/>
    <w:rsid w:val="006C1ADA"/>
    <w:rsid w:val="006D7F6B"/>
    <w:rsid w:val="006E4407"/>
    <w:rsid w:val="006F1599"/>
    <w:rsid w:val="006F2D85"/>
    <w:rsid w:val="006F376E"/>
    <w:rsid w:val="00716F00"/>
    <w:rsid w:val="0073084C"/>
    <w:rsid w:val="00731030"/>
    <w:rsid w:val="007344D7"/>
    <w:rsid w:val="00737319"/>
    <w:rsid w:val="00746BD5"/>
    <w:rsid w:val="00753A60"/>
    <w:rsid w:val="0076505F"/>
    <w:rsid w:val="0077413A"/>
    <w:rsid w:val="007A3D6C"/>
    <w:rsid w:val="007C3A15"/>
    <w:rsid w:val="007D4708"/>
    <w:rsid w:val="00806846"/>
    <w:rsid w:val="008222AC"/>
    <w:rsid w:val="008274D8"/>
    <w:rsid w:val="00840B45"/>
    <w:rsid w:val="00851169"/>
    <w:rsid w:val="008836D8"/>
    <w:rsid w:val="0089418C"/>
    <w:rsid w:val="0089728B"/>
    <w:rsid w:val="008D0731"/>
    <w:rsid w:val="008D4C33"/>
    <w:rsid w:val="008E143A"/>
    <w:rsid w:val="008E5F23"/>
    <w:rsid w:val="008E7AAF"/>
    <w:rsid w:val="008F1315"/>
    <w:rsid w:val="00906EF5"/>
    <w:rsid w:val="00920468"/>
    <w:rsid w:val="00923EF1"/>
    <w:rsid w:val="00924E6A"/>
    <w:rsid w:val="0092710E"/>
    <w:rsid w:val="00934ACD"/>
    <w:rsid w:val="00943066"/>
    <w:rsid w:val="00947CA6"/>
    <w:rsid w:val="009508AE"/>
    <w:rsid w:val="009704C6"/>
    <w:rsid w:val="00974B32"/>
    <w:rsid w:val="009959FE"/>
    <w:rsid w:val="009C0390"/>
    <w:rsid w:val="009C4330"/>
    <w:rsid w:val="009D7D21"/>
    <w:rsid w:val="009E04F8"/>
    <w:rsid w:val="009F21D0"/>
    <w:rsid w:val="00A06A74"/>
    <w:rsid w:val="00A153AD"/>
    <w:rsid w:val="00A33934"/>
    <w:rsid w:val="00A36B27"/>
    <w:rsid w:val="00A51B0F"/>
    <w:rsid w:val="00A744E6"/>
    <w:rsid w:val="00A84D47"/>
    <w:rsid w:val="00A870E9"/>
    <w:rsid w:val="00A954F5"/>
    <w:rsid w:val="00AB3ED5"/>
    <w:rsid w:val="00AD3651"/>
    <w:rsid w:val="00AE2FAD"/>
    <w:rsid w:val="00AF7330"/>
    <w:rsid w:val="00B01298"/>
    <w:rsid w:val="00B07BC3"/>
    <w:rsid w:val="00B11D9E"/>
    <w:rsid w:val="00B12E0D"/>
    <w:rsid w:val="00B26632"/>
    <w:rsid w:val="00B30CAE"/>
    <w:rsid w:val="00B32B00"/>
    <w:rsid w:val="00B4331E"/>
    <w:rsid w:val="00B50C23"/>
    <w:rsid w:val="00B522B6"/>
    <w:rsid w:val="00B55AEC"/>
    <w:rsid w:val="00B56B75"/>
    <w:rsid w:val="00B61EFE"/>
    <w:rsid w:val="00B636B4"/>
    <w:rsid w:val="00B7067C"/>
    <w:rsid w:val="00B8002C"/>
    <w:rsid w:val="00B808EA"/>
    <w:rsid w:val="00B83F8E"/>
    <w:rsid w:val="00B96BF7"/>
    <w:rsid w:val="00BA3F5E"/>
    <w:rsid w:val="00BA5C6C"/>
    <w:rsid w:val="00BB47F5"/>
    <w:rsid w:val="00BB78C6"/>
    <w:rsid w:val="00BC2390"/>
    <w:rsid w:val="00BC35E8"/>
    <w:rsid w:val="00BC4612"/>
    <w:rsid w:val="00BD5C8F"/>
    <w:rsid w:val="00BE0DDE"/>
    <w:rsid w:val="00BE4020"/>
    <w:rsid w:val="00BE5550"/>
    <w:rsid w:val="00BF1814"/>
    <w:rsid w:val="00C011E9"/>
    <w:rsid w:val="00C22CED"/>
    <w:rsid w:val="00C33F8E"/>
    <w:rsid w:val="00C434E8"/>
    <w:rsid w:val="00C45E03"/>
    <w:rsid w:val="00C47ACF"/>
    <w:rsid w:val="00C6493A"/>
    <w:rsid w:val="00C85969"/>
    <w:rsid w:val="00CD1578"/>
    <w:rsid w:val="00CE55AE"/>
    <w:rsid w:val="00CE6A13"/>
    <w:rsid w:val="00CE7FA3"/>
    <w:rsid w:val="00CF506D"/>
    <w:rsid w:val="00D0138C"/>
    <w:rsid w:val="00D1226C"/>
    <w:rsid w:val="00D139A2"/>
    <w:rsid w:val="00D16764"/>
    <w:rsid w:val="00D2402F"/>
    <w:rsid w:val="00D37867"/>
    <w:rsid w:val="00D73EFB"/>
    <w:rsid w:val="00D9368B"/>
    <w:rsid w:val="00DA02BE"/>
    <w:rsid w:val="00DA0DF8"/>
    <w:rsid w:val="00DA6CCE"/>
    <w:rsid w:val="00DB2C44"/>
    <w:rsid w:val="00DB3992"/>
    <w:rsid w:val="00DC45B6"/>
    <w:rsid w:val="00DF3ECE"/>
    <w:rsid w:val="00E278F1"/>
    <w:rsid w:val="00E44EC7"/>
    <w:rsid w:val="00E51691"/>
    <w:rsid w:val="00E52453"/>
    <w:rsid w:val="00E57B3A"/>
    <w:rsid w:val="00E643A6"/>
    <w:rsid w:val="00E66DCA"/>
    <w:rsid w:val="00E73376"/>
    <w:rsid w:val="00E7420F"/>
    <w:rsid w:val="00E753DC"/>
    <w:rsid w:val="00E81C69"/>
    <w:rsid w:val="00E87CD9"/>
    <w:rsid w:val="00EA5905"/>
    <w:rsid w:val="00EB7E4E"/>
    <w:rsid w:val="00EC5221"/>
    <w:rsid w:val="00EE4D4D"/>
    <w:rsid w:val="00EE76FE"/>
    <w:rsid w:val="00EF445D"/>
    <w:rsid w:val="00F00975"/>
    <w:rsid w:val="00F06D75"/>
    <w:rsid w:val="00F227F3"/>
    <w:rsid w:val="00F34F01"/>
    <w:rsid w:val="00F36D27"/>
    <w:rsid w:val="00F54164"/>
    <w:rsid w:val="00F6732C"/>
    <w:rsid w:val="00F7027F"/>
    <w:rsid w:val="00F74E34"/>
    <w:rsid w:val="00FA17CC"/>
    <w:rsid w:val="00FC644D"/>
    <w:rsid w:val="00FF5A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8461">
      <w:bodyDiv w:val="1"/>
      <w:marLeft w:val="0"/>
      <w:marRight w:val="0"/>
      <w:marTop w:val="0"/>
      <w:marBottom w:val="0"/>
      <w:divBdr>
        <w:top w:val="none" w:sz="0" w:space="0" w:color="auto"/>
        <w:left w:val="none" w:sz="0" w:space="0" w:color="auto"/>
        <w:bottom w:val="none" w:sz="0" w:space="0" w:color="auto"/>
        <w:right w:val="none" w:sz="0" w:space="0" w:color="auto"/>
      </w:divBdr>
    </w:div>
    <w:div w:id="151795051">
      <w:bodyDiv w:val="1"/>
      <w:marLeft w:val="0"/>
      <w:marRight w:val="0"/>
      <w:marTop w:val="0"/>
      <w:marBottom w:val="0"/>
      <w:divBdr>
        <w:top w:val="none" w:sz="0" w:space="0" w:color="auto"/>
        <w:left w:val="none" w:sz="0" w:space="0" w:color="auto"/>
        <w:bottom w:val="none" w:sz="0" w:space="0" w:color="auto"/>
        <w:right w:val="none" w:sz="0" w:space="0" w:color="auto"/>
      </w:divBdr>
    </w:div>
    <w:div w:id="195049986">
      <w:bodyDiv w:val="1"/>
      <w:marLeft w:val="0"/>
      <w:marRight w:val="0"/>
      <w:marTop w:val="0"/>
      <w:marBottom w:val="0"/>
      <w:divBdr>
        <w:top w:val="none" w:sz="0" w:space="0" w:color="auto"/>
        <w:left w:val="none" w:sz="0" w:space="0" w:color="auto"/>
        <w:bottom w:val="none" w:sz="0" w:space="0" w:color="auto"/>
        <w:right w:val="none" w:sz="0" w:space="0" w:color="auto"/>
      </w:divBdr>
    </w:div>
    <w:div w:id="225607219">
      <w:bodyDiv w:val="1"/>
      <w:marLeft w:val="0"/>
      <w:marRight w:val="0"/>
      <w:marTop w:val="0"/>
      <w:marBottom w:val="0"/>
      <w:divBdr>
        <w:top w:val="none" w:sz="0" w:space="0" w:color="auto"/>
        <w:left w:val="none" w:sz="0" w:space="0" w:color="auto"/>
        <w:bottom w:val="none" w:sz="0" w:space="0" w:color="auto"/>
        <w:right w:val="none" w:sz="0" w:space="0" w:color="auto"/>
      </w:divBdr>
    </w:div>
    <w:div w:id="248002257">
      <w:bodyDiv w:val="1"/>
      <w:marLeft w:val="0"/>
      <w:marRight w:val="0"/>
      <w:marTop w:val="0"/>
      <w:marBottom w:val="0"/>
      <w:divBdr>
        <w:top w:val="none" w:sz="0" w:space="0" w:color="auto"/>
        <w:left w:val="none" w:sz="0" w:space="0" w:color="auto"/>
        <w:bottom w:val="none" w:sz="0" w:space="0" w:color="auto"/>
        <w:right w:val="none" w:sz="0" w:space="0" w:color="auto"/>
      </w:divBdr>
    </w:div>
    <w:div w:id="249776235">
      <w:bodyDiv w:val="1"/>
      <w:marLeft w:val="0"/>
      <w:marRight w:val="0"/>
      <w:marTop w:val="0"/>
      <w:marBottom w:val="0"/>
      <w:divBdr>
        <w:top w:val="none" w:sz="0" w:space="0" w:color="auto"/>
        <w:left w:val="none" w:sz="0" w:space="0" w:color="auto"/>
        <w:bottom w:val="none" w:sz="0" w:space="0" w:color="auto"/>
        <w:right w:val="none" w:sz="0" w:space="0" w:color="auto"/>
      </w:divBdr>
    </w:div>
    <w:div w:id="301152432">
      <w:bodyDiv w:val="1"/>
      <w:marLeft w:val="0"/>
      <w:marRight w:val="0"/>
      <w:marTop w:val="0"/>
      <w:marBottom w:val="0"/>
      <w:divBdr>
        <w:top w:val="none" w:sz="0" w:space="0" w:color="auto"/>
        <w:left w:val="none" w:sz="0" w:space="0" w:color="auto"/>
        <w:bottom w:val="none" w:sz="0" w:space="0" w:color="auto"/>
        <w:right w:val="none" w:sz="0" w:space="0" w:color="auto"/>
      </w:divBdr>
    </w:div>
    <w:div w:id="304967635">
      <w:bodyDiv w:val="1"/>
      <w:marLeft w:val="0"/>
      <w:marRight w:val="0"/>
      <w:marTop w:val="0"/>
      <w:marBottom w:val="0"/>
      <w:divBdr>
        <w:top w:val="none" w:sz="0" w:space="0" w:color="auto"/>
        <w:left w:val="none" w:sz="0" w:space="0" w:color="auto"/>
        <w:bottom w:val="none" w:sz="0" w:space="0" w:color="auto"/>
        <w:right w:val="none" w:sz="0" w:space="0" w:color="auto"/>
      </w:divBdr>
    </w:div>
    <w:div w:id="356587471">
      <w:bodyDiv w:val="1"/>
      <w:marLeft w:val="0"/>
      <w:marRight w:val="0"/>
      <w:marTop w:val="0"/>
      <w:marBottom w:val="0"/>
      <w:divBdr>
        <w:top w:val="none" w:sz="0" w:space="0" w:color="auto"/>
        <w:left w:val="none" w:sz="0" w:space="0" w:color="auto"/>
        <w:bottom w:val="none" w:sz="0" w:space="0" w:color="auto"/>
        <w:right w:val="none" w:sz="0" w:space="0" w:color="auto"/>
      </w:divBdr>
    </w:div>
    <w:div w:id="432476750">
      <w:bodyDiv w:val="1"/>
      <w:marLeft w:val="0"/>
      <w:marRight w:val="0"/>
      <w:marTop w:val="0"/>
      <w:marBottom w:val="0"/>
      <w:divBdr>
        <w:top w:val="none" w:sz="0" w:space="0" w:color="auto"/>
        <w:left w:val="none" w:sz="0" w:space="0" w:color="auto"/>
        <w:bottom w:val="none" w:sz="0" w:space="0" w:color="auto"/>
        <w:right w:val="none" w:sz="0" w:space="0" w:color="auto"/>
      </w:divBdr>
    </w:div>
    <w:div w:id="439228292">
      <w:bodyDiv w:val="1"/>
      <w:marLeft w:val="0"/>
      <w:marRight w:val="0"/>
      <w:marTop w:val="0"/>
      <w:marBottom w:val="0"/>
      <w:divBdr>
        <w:top w:val="none" w:sz="0" w:space="0" w:color="auto"/>
        <w:left w:val="none" w:sz="0" w:space="0" w:color="auto"/>
        <w:bottom w:val="none" w:sz="0" w:space="0" w:color="auto"/>
        <w:right w:val="none" w:sz="0" w:space="0" w:color="auto"/>
      </w:divBdr>
    </w:div>
    <w:div w:id="521937452">
      <w:bodyDiv w:val="1"/>
      <w:marLeft w:val="0"/>
      <w:marRight w:val="0"/>
      <w:marTop w:val="0"/>
      <w:marBottom w:val="0"/>
      <w:divBdr>
        <w:top w:val="none" w:sz="0" w:space="0" w:color="auto"/>
        <w:left w:val="none" w:sz="0" w:space="0" w:color="auto"/>
        <w:bottom w:val="none" w:sz="0" w:space="0" w:color="auto"/>
        <w:right w:val="none" w:sz="0" w:space="0" w:color="auto"/>
      </w:divBdr>
    </w:div>
    <w:div w:id="529420746">
      <w:bodyDiv w:val="1"/>
      <w:marLeft w:val="0"/>
      <w:marRight w:val="0"/>
      <w:marTop w:val="0"/>
      <w:marBottom w:val="0"/>
      <w:divBdr>
        <w:top w:val="none" w:sz="0" w:space="0" w:color="auto"/>
        <w:left w:val="none" w:sz="0" w:space="0" w:color="auto"/>
        <w:bottom w:val="none" w:sz="0" w:space="0" w:color="auto"/>
        <w:right w:val="none" w:sz="0" w:space="0" w:color="auto"/>
      </w:divBdr>
    </w:div>
    <w:div w:id="626401077">
      <w:bodyDiv w:val="1"/>
      <w:marLeft w:val="0"/>
      <w:marRight w:val="0"/>
      <w:marTop w:val="0"/>
      <w:marBottom w:val="0"/>
      <w:divBdr>
        <w:top w:val="none" w:sz="0" w:space="0" w:color="auto"/>
        <w:left w:val="none" w:sz="0" w:space="0" w:color="auto"/>
        <w:bottom w:val="none" w:sz="0" w:space="0" w:color="auto"/>
        <w:right w:val="none" w:sz="0" w:space="0" w:color="auto"/>
      </w:divBdr>
    </w:div>
    <w:div w:id="640305985">
      <w:bodyDiv w:val="1"/>
      <w:marLeft w:val="0"/>
      <w:marRight w:val="0"/>
      <w:marTop w:val="0"/>
      <w:marBottom w:val="0"/>
      <w:divBdr>
        <w:top w:val="none" w:sz="0" w:space="0" w:color="auto"/>
        <w:left w:val="none" w:sz="0" w:space="0" w:color="auto"/>
        <w:bottom w:val="none" w:sz="0" w:space="0" w:color="auto"/>
        <w:right w:val="none" w:sz="0" w:space="0" w:color="auto"/>
      </w:divBdr>
    </w:div>
    <w:div w:id="685139414">
      <w:bodyDiv w:val="1"/>
      <w:marLeft w:val="0"/>
      <w:marRight w:val="0"/>
      <w:marTop w:val="0"/>
      <w:marBottom w:val="0"/>
      <w:divBdr>
        <w:top w:val="none" w:sz="0" w:space="0" w:color="auto"/>
        <w:left w:val="none" w:sz="0" w:space="0" w:color="auto"/>
        <w:bottom w:val="none" w:sz="0" w:space="0" w:color="auto"/>
        <w:right w:val="none" w:sz="0" w:space="0" w:color="auto"/>
      </w:divBdr>
    </w:div>
    <w:div w:id="800730298">
      <w:bodyDiv w:val="1"/>
      <w:marLeft w:val="0"/>
      <w:marRight w:val="0"/>
      <w:marTop w:val="0"/>
      <w:marBottom w:val="0"/>
      <w:divBdr>
        <w:top w:val="none" w:sz="0" w:space="0" w:color="auto"/>
        <w:left w:val="none" w:sz="0" w:space="0" w:color="auto"/>
        <w:bottom w:val="none" w:sz="0" w:space="0" w:color="auto"/>
        <w:right w:val="none" w:sz="0" w:space="0" w:color="auto"/>
      </w:divBdr>
    </w:div>
    <w:div w:id="820930821">
      <w:bodyDiv w:val="1"/>
      <w:marLeft w:val="0"/>
      <w:marRight w:val="0"/>
      <w:marTop w:val="0"/>
      <w:marBottom w:val="0"/>
      <w:divBdr>
        <w:top w:val="none" w:sz="0" w:space="0" w:color="auto"/>
        <w:left w:val="none" w:sz="0" w:space="0" w:color="auto"/>
        <w:bottom w:val="none" w:sz="0" w:space="0" w:color="auto"/>
        <w:right w:val="none" w:sz="0" w:space="0" w:color="auto"/>
      </w:divBdr>
    </w:div>
    <w:div w:id="838928568">
      <w:bodyDiv w:val="1"/>
      <w:marLeft w:val="0"/>
      <w:marRight w:val="0"/>
      <w:marTop w:val="0"/>
      <w:marBottom w:val="0"/>
      <w:divBdr>
        <w:top w:val="none" w:sz="0" w:space="0" w:color="auto"/>
        <w:left w:val="none" w:sz="0" w:space="0" w:color="auto"/>
        <w:bottom w:val="none" w:sz="0" w:space="0" w:color="auto"/>
        <w:right w:val="none" w:sz="0" w:space="0" w:color="auto"/>
      </w:divBdr>
    </w:div>
    <w:div w:id="867107794">
      <w:bodyDiv w:val="1"/>
      <w:marLeft w:val="0"/>
      <w:marRight w:val="0"/>
      <w:marTop w:val="0"/>
      <w:marBottom w:val="0"/>
      <w:divBdr>
        <w:top w:val="none" w:sz="0" w:space="0" w:color="auto"/>
        <w:left w:val="none" w:sz="0" w:space="0" w:color="auto"/>
        <w:bottom w:val="none" w:sz="0" w:space="0" w:color="auto"/>
        <w:right w:val="none" w:sz="0" w:space="0" w:color="auto"/>
      </w:divBdr>
    </w:div>
    <w:div w:id="916787468">
      <w:bodyDiv w:val="1"/>
      <w:marLeft w:val="0"/>
      <w:marRight w:val="0"/>
      <w:marTop w:val="0"/>
      <w:marBottom w:val="0"/>
      <w:divBdr>
        <w:top w:val="none" w:sz="0" w:space="0" w:color="auto"/>
        <w:left w:val="none" w:sz="0" w:space="0" w:color="auto"/>
        <w:bottom w:val="none" w:sz="0" w:space="0" w:color="auto"/>
        <w:right w:val="none" w:sz="0" w:space="0" w:color="auto"/>
      </w:divBdr>
    </w:div>
    <w:div w:id="949124126">
      <w:bodyDiv w:val="1"/>
      <w:marLeft w:val="0"/>
      <w:marRight w:val="0"/>
      <w:marTop w:val="0"/>
      <w:marBottom w:val="0"/>
      <w:divBdr>
        <w:top w:val="none" w:sz="0" w:space="0" w:color="auto"/>
        <w:left w:val="none" w:sz="0" w:space="0" w:color="auto"/>
        <w:bottom w:val="none" w:sz="0" w:space="0" w:color="auto"/>
        <w:right w:val="none" w:sz="0" w:space="0" w:color="auto"/>
      </w:divBdr>
    </w:div>
    <w:div w:id="962492474">
      <w:bodyDiv w:val="1"/>
      <w:marLeft w:val="0"/>
      <w:marRight w:val="0"/>
      <w:marTop w:val="0"/>
      <w:marBottom w:val="0"/>
      <w:divBdr>
        <w:top w:val="none" w:sz="0" w:space="0" w:color="auto"/>
        <w:left w:val="none" w:sz="0" w:space="0" w:color="auto"/>
        <w:bottom w:val="none" w:sz="0" w:space="0" w:color="auto"/>
        <w:right w:val="none" w:sz="0" w:space="0" w:color="auto"/>
      </w:divBdr>
    </w:div>
    <w:div w:id="1007176460">
      <w:bodyDiv w:val="1"/>
      <w:marLeft w:val="0"/>
      <w:marRight w:val="0"/>
      <w:marTop w:val="0"/>
      <w:marBottom w:val="0"/>
      <w:divBdr>
        <w:top w:val="none" w:sz="0" w:space="0" w:color="auto"/>
        <w:left w:val="none" w:sz="0" w:space="0" w:color="auto"/>
        <w:bottom w:val="none" w:sz="0" w:space="0" w:color="auto"/>
        <w:right w:val="none" w:sz="0" w:space="0" w:color="auto"/>
      </w:divBdr>
    </w:div>
    <w:div w:id="1028287974">
      <w:bodyDiv w:val="1"/>
      <w:marLeft w:val="0"/>
      <w:marRight w:val="0"/>
      <w:marTop w:val="0"/>
      <w:marBottom w:val="0"/>
      <w:divBdr>
        <w:top w:val="none" w:sz="0" w:space="0" w:color="auto"/>
        <w:left w:val="none" w:sz="0" w:space="0" w:color="auto"/>
        <w:bottom w:val="none" w:sz="0" w:space="0" w:color="auto"/>
        <w:right w:val="none" w:sz="0" w:space="0" w:color="auto"/>
      </w:divBdr>
    </w:div>
    <w:div w:id="1089275222">
      <w:bodyDiv w:val="1"/>
      <w:marLeft w:val="0"/>
      <w:marRight w:val="0"/>
      <w:marTop w:val="0"/>
      <w:marBottom w:val="0"/>
      <w:divBdr>
        <w:top w:val="none" w:sz="0" w:space="0" w:color="auto"/>
        <w:left w:val="none" w:sz="0" w:space="0" w:color="auto"/>
        <w:bottom w:val="none" w:sz="0" w:space="0" w:color="auto"/>
        <w:right w:val="none" w:sz="0" w:space="0" w:color="auto"/>
      </w:divBdr>
    </w:div>
    <w:div w:id="1142581482">
      <w:bodyDiv w:val="1"/>
      <w:marLeft w:val="0"/>
      <w:marRight w:val="0"/>
      <w:marTop w:val="0"/>
      <w:marBottom w:val="0"/>
      <w:divBdr>
        <w:top w:val="none" w:sz="0" w:space="0" w:color="auto"/>
        <w:left w:val="none" w:sz="0" w:space="0" w:color="auto"/>
        <w:bottom w:val="none" w:sz="0" w:space="0" w:color="auto"/>
        <w:right w:val="none" w:sz="0" w:space="0" w:color="auto"/>
      </w:divBdr>
    </w:div>
    <w:div w:id="1186796547">
      <w:bodyDiv w:val="1"/>
      <w:marLeft w:val="0"/>
      <w:marRight w:val="0"/>
      <w:marTop w:val="0"/>
      <w:marBottom w:val="0"/>
      <w:divBdr>
        <w:top w:val="none" w:sz="0" w:space="0" w:color="auto"/>
        <w:left w:val="none" w:sz="0" w:space="0" w:color="auto"/>
        <w:bottom w:val="none" w:sz="0" w:space="0" w:color="auto"/>
        <w:right w:val="none" w:sz="0" w:space="0" w:color="auto"/>
      </w:divBdr>
    </w:div>
    <w:div w:id="1225531140">
      <w:bodyDiv w:val="1"/>
      <w:marLeft w:val="0"/>
      <w:marRight w:val="0"/>
      <w:marTop w:val="0"/>
      <w:marBottom w:val="0"/>
      <w:divBdr>
        <w:top w:val="none" w:sz="0" w:space="0" w:color="auto"/>
        <w:left w:val="none" w:sz="0" w:space="0" w:color="auto"/>
        <w:bottom w:val="none" w:sz="0" w:space="0" w:color="auto"/>
        <w:right w:val="none" w:sz="0" w:space="0" w:color="auto"/>
      </w:divBdr>
    </w:div>
    <w:div w:id="1243292502">
      <w:bodyDiv w:val="1"/>
      <w:marLeft w:val="0"/>
      <w:marRight w:val="0"/>
      <w:marTop w:val="0"/>
      <w:marBottom w:val="0"/>
      <w:divBdr>
        <w:top w:val="none" w:sz="0" w:space="0" w:color="auto"/>
        <w:left w:val="none" w:sz="0" w:space="0" w:color="auto"/>
        <w:bottom w:val="none" w:sz="0" w:space="0" w:color="auto"/>
        <w:right w:val="none" w:sz="0" w:space="0" w:color="auto"/>
      </w:divBdr>
    </w:div>
    <w:div w:id="1243295183">
      <w:bodyDiv w:val="1"/>
      <w:marLeft w:val="0"/>
      <w:marRight w:val="0"/>
      <w:marTop w:val="0"/>
      <w:marBottom w:val="0"/>
      <w:divBdr>
        <w:top w:val="none" w:sz="0" w:space="0" w:color="auto"/>
        <w:left w:val="none" w:sz="0" w:space="0" w:color="auto"/>
        <w:bottom w:val="none" w:sz="0" w:space="0" w:color="auto"/>
        <w:right w:val="none" w:sz="0" w:space="0" w:color="auto"/>
      </w:divBdr>
    </w:div>
    <w:div w:id="1274747791">
      <w:bodyDiv w:val="1"/>
      <w:marLeft w:val="0"/>
      <w:marRight w:val="0"/>
      <w:marTop w:val="0"/>
      <w:marBottom w:val="0"/>
      <w:divBdr>
        <w:top w:val="none" w:sz="0" w:space="0" w:color="auto"/>
        <w:left w:val="none" w:sz="0" w:space="0" w:color="auto"/>
        <w:bottom w:val="none" w:sz="0" w:space="0" w:color="auto"/>
        <w:right w:val="none" w:sz="0" w:space="0" w:color="auto"/>
      </w:divBdr>
    </w:div>
    <w:div w:id="1315719825">
      <w:bodyDiv w:val="1"/>
      <w:marLeft w:val="0"/>
      <w:marRight w:val="0"/>
      <w:marTop w:val="0"/>
      <w:marBottom w:val="0"/>
      <w:divBdr>
        <w:top w:val="none" w:sz="0" w:space="0" w:color="auto"/>
        <w:left w:val="none" w:sz="0" w:space="0" w:color="auto"/>
        <w:bottom w:val="none" w:sz="0" w:space="0" w:color="auto"/>
        <w:right w:val="none" w:sz="0" w:space="0" w:color="auto"/>
      </w:divBdr>
    </w:div>
    <w:div w:id="1401633157">
      <w:bodyDiv w:val="1"/>
      <w:marLeft w:val="0"/>
      <w:marRight w:val="0"/>
      <w:marTop w:val="0"/>
      <w:marBottom w:val="0"/>
      <w:divBdr>
        <w:top w:val="none" w:sz="0" w:space="0" w:color="auto"/>
        <w:left w:val="none" w:sz="0" w:space="0" w:color="auto"/>
        <w:bottom w:val="none" w:sz="0" w:space="0" w:color="auto"/>
        <w:right w:val="none" w:sz="0" w:space="0" w:color="auto"/>
      </w:divBdr>
    </w:div>
    <w:div w:id="1403404582">
      <w:bodyDiv w:val="1"/>
      <w:marLeft w:val="0"/>
      <w:marRight w:val="0"/>
      <w:marTop w:val="0"/>
      <w:marBottom w:val="0"/>
      <w:divBdr>
        <w:top w:val="none" w:sz="0" w:space="0" w:color="auto"/>
        <w:left w:val="none" w:sz="0" w:space="0" w:color="auto"/>
        <w:bottom w:val="none" w:sz="0" w:space="0" w:color="auto"/>
        <w:right w:val="none" w:sz="0" w:space="0" w:color="auto"/>
      </w:divBdr>
    </w:div>
    <w:div w:id="1422871577">
      <w:bodyDiv w:val="1"/>
      <w:marLeft w:val="0"/>
      <w:marRight w:val="0"/>
      <w:marTop w:val="0"/>
      <w:marBottom w:val="0"/>
      <w:divBdr>
        <w:top w:val="none" w:sz="0" w:space="0" w:color="auto"/>
        <w:left w:val="none" w:sz="0" w:space="0" w:color="auto"/>
        <w:bottom w:val="none" w:sz="0" w:space="0" w:color="auto"/>
        <w:right w:val="none" w:sz="0" w:space="0" w:color="auto"/>
      </w:divBdr>
    </w:div>
    <w:div w:id="1527137624">
      <w:bodyDiv w:val="1"/>
      <w:marLeft w:val="0"/>
      <w:marRight w:val="0"/>
      <w:marTop w:val="0"/>
      <w:marBottom w:val="0"/>
      <w:divBdr>
        <w:top w:val="none" w:sz="0" w:space="0" w:color="auto"/>
        <w:left w:val="none" w:sz="0" w:space="0" w:color="auto"/>
        <w:bottom w:val="none" w:sz="0" w:space="0" w:color="auto"/>
        <w:right w:val="none" w:sz="0" w:space="0" w:color="auto"/>
      </w:divBdr>
    </w:div>
    <w:div w:id="1548838048">
      <w:bodyDiv w:val="1"/>
      <w:marLeft w:val="0"/>
      <w:marRight w:val="0"/>
      <w:marTop w:val="0"/>
      <w:marBottom w:val="0"/>
      <w:divBdr>
        <w:top w:val="none" w:sz="0" w:space="0" w:color="auto"/>
        <w:left w:val="none" w:sz="0" w:space="0" w:color="auto"/>
        <w:bottom w:val="none" w:sz="0" w:space="0" w:color="auto"/>
        <w:right w:val="none" w:sz="0" w:space="0" w:color="auto"/>
      </w:divBdr>
    </w:div>
    <w:div w:id="1575971851">
      <w:bodyDiv w:val="1"/>
      <w:marLeft w:val="0"/>
      <w:marRight w:val="0"/>
      <w:marTop w:val="0"/>
      <w:marBottom w:val="0"/>
      <w:divBdr>
        <w:top w:val="none" w:sz="0" w:space="0" w:color="auto"/>
        <w:left w:val="none" w:sz="0" w:space="0" w:color="auto"/>
        <w:bottom w:val="none" w:sz="0" w:space="0" w:color="auto"/>
        <w:right w:val="none" w:sz="0" w:space="0" w:color="auto"/>
      </w:divBdr>
    </w:div>
    <w:div w:id="1581526533">
      <w:bodyDiv w:val="1"/>
      <w:marLeft w:val="0"/>
      <w:marRight w:val="0"/>
      <w:marTop w:val="0"/>
      <w:marBottom w:val="0"/>
      <w:divBdr>
        <w:top w:val="none" w:sz="0" w:space="0" w:color="auto"/>
        <w:left w:val="none" w:sz="0" w:space="0" w:color="auto"/>
        <w:bottom w:val="none" w:sz="0" w:space="0" w:color="auto"/>
        <w:right w:val="none" w:sz="0" w:space="0" w:color="auto"/>
      </w:divBdr>
    </w:div>
    <w:div w:id="1590313935">
      <w:bodyDiv w:val="1"/>
      <w:marLeft w:val="0"/>
      <w:marRight w:val="0"/>
      <w:marTop w:val="0"/>
      <w:marBottom w:val="0"/>
      <w:divBdr>
        <w:top w:val="none" w:sz="0" w:space="0" w:color="auto"/>
        <w:left w:val="none" w:sz="0" w:space="0" w:color="auto"/>
        <w:bottom w:val="none" w:sz="0" w:space="0" w:color="auto"/>
        <w:right w:val="none" w:sz="0" w:space="0" w:color="auto"/>
      </w:divBdr>
    </w:div>
    <w:div w:id="1596286221">
      <w:bodyDiv w:val="1"/>
      <w:marLeft w:val="0"/>
      <w:marRight w:val="0"/>
      <w:marTop w:val="0"/>
      <w:marBottom w:val="0"/>
      <w:divBdr>
        <w:top w:val="none" w:sz="0" w:space="0" w:color="auto"/>
        <w:left w:val="none" w:sz="0" w:space="0" w:color="auto"/>
        <w:bottom w:val="none" w:sz="0" w:space="0" w:color="auto"/>
        <w:right w:val="none" w:sz="0" w:space="0" w:color="auto"/>
      </w:divBdr>
    </w:div>
    <w:div w:id="1639190397">
      <w:bodyDiv w:val="1"/>
      <w:marLeft w:val="0"/>
      <w:marRight w:val="0"/>
      <w:marTop w:val="0"/>
      <w:marBottom w:val="0"/>
      <w:divBdr>
        <w:top w:val="none" w:sz="0" w:space="0" w:color="auto"/>
        <w:left w:val="none" w:sz="0" w:space="0" w:color="auto"/>
        <w:bottom w:val="none" w:sz="0" w:space="0" w:color="auto"/>
        <w:right w:val="none" w:sz="0" w:space="0" w:color="auto"/>
      </w:divBdr>
    </w:div>
    <w:div w:id="1748727152">
      <w:bodyDiv w:val="1"/>
      <w:marLeft w:val="0"/>
      <w:marRight w:val="0"/>
      <w:marTop w:val="0"/>
      <w:marBottom w:val="0"/>
      <w:divBdr>
        <w:top w:val="none" w:sz="0" w:space="0" w:color="auto"/>
        <w:left w:val="none" w:sz="0" w:space="0" w:color="auto"/>
        <w:bottom w:val="none" w:sz="0" w:space="0" w:color="auto"/>
        <w:right w:val="none" w:sz="0" w:space="0" w:color="auto"/>
      </w:divBdr>
    </w:div>
    <w:div w:id="1754165072">
      <w:bodyDiv w:val="1"/>
      <w:marLeft w:val="0"/>
      <w:marRight w:val="0"/>
      <w:marTop w:val="0"/>
      <w:marBottom w:val="0"/>
      <w:divBdr>
        <w:top w:val="none" w:sz="0" w:space="0" w:color="auto"/>
        <w:left w:val="none" w:sz="0" w:space="0" w:color="auto"/>
        <w:bottom w:val="none" w:sz="0" w:space="0" w:color="auto"/>
        <w:right w:val="none" w:sz="0" w:space="0" w:color="auto"/>
      </w:divBdr>
    </w:div>
    <w:div w:id="1780175940">
      <w:bodyDiv w:val="1"/>
      <w:marLeft w:val="0"/>
      <w:marRight w:val="0"/>
      <w:marTop w:val="0"/>
      <w:marBottom w:val="0"/>
      <w:divBdr>
        <w:top w:val="none" w:sz="0" w:space="0" w:color="auto"/>
        <w:left w:val="none" w:sz="0" w:space="0" w:color="auto"/>
        <w:bottom w:val="none" w:sz="0" w:space="0" w:color="auto"/>
        <w:right w:val="none" w:sz="0" w:space="0" w:color="auto"/>
      </w:divBdr>
    </w:div>
    <w:div w:id="1851019787">
      <w:bodyDiv w:val="1"/>
      <w:marLeft w:val="0"/>
      <w:marRight w:val="0"/>
      <w:marTop w:val="0"/>
      <w:marBottom w:val="0"/>
      <w:divBdr>
        <w:top w:val="none" w:sz="0" w:space="0" w:color="auto"/>
        <w:left w:val="none" w:sz="0" w:space="0" w:color="auto"/>
        <w:bottom w:val="none" w:sz="0" w:space="0" w:color="auto"/>
        <w:right w:val="none" w:sz="0" w:space="0" w:color="auto"/>
      </w:divBdr>
    </w:div>
    <w:div w:id="1916157762">
      <w:bodyDiv w:val="1"/>
      <w:marLeft w:val="0"/>
      <w:marRight w:val="0"/>
      <w:marTop w:val="0"/>
      <w:marBottom w:val="0"/>
      <w:divBdr>
        <w:top w:val="none" w:sz="0" w:space="0" w:color="auto"/>
        <w:left w:val="none" w:sz="0" w:space="0" w:color="auto"/>
        <w:bottom w:val="none" w:sz="0" w:space="0" w:color="auto"/>
        <w:right w:val="none" w:sz="0" w:space="0" w:color="auto"/>
      </w:divBdr>
    </w:div>
    <w:div w:id="1964848166">
      <w:bodyDiv w:val="1"/>
      <w:marLeft w:val="0"/>
      <w:marRight w:val="0"/>
      <w:marTop w:val="0"/>
      <w:marBottom w:val="0"/>
      <w:divBdr>
        <w:top w:val="none" w:sz="0" w:space="0" w:color="auto"/>
        <w:left w:val="none" w:sz="0" w:space="0" w:color="auto"/>
        <w:bottom w:val="none" w:sz="0" w:space="0" w:color="auto"/>
        <w:right w:val="none" w:sz="0" w:space="0" w:color="auto"/>
      </w:divBdr>
    </w:div>
    <w:div w:id="1996446943">
      <w:bodyDiv w:val="1"/>
      <w:marLeft w:val="0"/>
      <w:marRight w:val="0"/>
      <w:marTop w:val="0"/>
      <w:marBottom w:val="0"/>
      <w:divBdr>
        <w:top w:val="none" w:sz="0" w:space="0" w:color="auto"/>
        <w:left w:val="none" w:sz="0" w:space="0" w:color="auto"/>
        <w:bottom w:val="none" w:sz="0" w:space="0" w:color="auto"/>
        <w:right w:val="none" w:sz="0" w:space="0" w:color="auto"/>
      </w:divBdr>
    </w:div>
    <w:div w:id="2068651405">
      <w:bodyDiv w:val="1"/>
      <w:marLeft w:val="0"/>
      <w:marRight w:val="0"/>
      <w:marTop w:val="0"/>
      <w:marBottom w:val="0"/>
      <w:divBdr>
        <w:top w:val="none" w:sz="0" w:space="0" w:color="auto"/>
        <w:left w:val="none" w:sz="0" w:space="0" w:color="auto"/>
        <w:bottom w:val="none" w:sz="0" w:space="0" w:color="auto"/>
        <w:right w:val="none" w:sz="0" w:space="0" w:color="auto"/>
      </w:divBdr>
    </w:div>
    <w:div w:id="2080326998">
      <w:bodyDiv w:val="1"/>
      <w:marLeft w:val="0"/>
      <w:marRight w:val="0"/>
      <w:marTop w:val="0"/>
      <w:marBottom w:val="0"/>
      <w:divBdr>
        <w:top w:val="none" w:sz="0" w:space="0" w:color="auto"/>
        <w:left w:val="none" w:sz="0" w:space="0" w:color="auto"/>
        <w:bottom w:val="none" w:sz="0" w:space="0" w:color="auto"/>
        <w:right w:val="none" w:sz="0" w:space="0" w:color="auto"/>
      </w:divBdr>
    </w:div>
    <w:div w:id="2124618335">
      <w:bodyDiv w:val="1"/>
      <w:marLeft w:val="0"/>
      <w:marRight w:val="0"/>
      <w:marTop w:val="0"/>
      <w:marBottom w:val="0"/>
      <w:divBdr>
        <w:top w:val="none" w:sz="0" w:space="0" w:color="auto"/>
        <w:left w:val="none" w:sz="0" w:space="0" w:color="auto"/>
        <w:bottom w:val="none" w:sz="0" w:space="0" w:color="auto"/>
        <w:right w:val="none" w:sz="0" w:space="0" w:color="auto"/>
      </w:divBdr>
    </w:div>
    <w:div w:id="214646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2.emf"/><Relationship Id="rId26" Type="http://schemas.openxmlformats.org/officeDocument/2006/relationships/chart" Target="charts/chart6.xml"/><Relationship Id="rId39" Type="http://schemas.openxmlformats.org/officeDocument/2006/relationships/image" Target="media/image12.jpeg"/><Relationship Id="rId21" Type="http://schemas.openxmlformats.org/officeDocument/2006/relationships/image" Target="media/image5.emf"/><Relationship Id="rId34" Type="http://schemas.openxmlformats.org/officeDocument/2006/relationships/chart" Target="charts/chart12.xm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8.png"/><Relationship Id="rId11" Type="http://schemas.openxmlformats.org/officeDocument/2006/relationships/diagramData" Target="diagrams/data1.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image" Target="media/image9.jpeg"/><Relationship Id="rId49" Type="http://schemas.openxmlformats.org/officeDocument/2006/relationships/header" Target="header1.xml"/><Relationship Id="rId10" Type="http://schemas.openxmlformats.org/officeDocument/2006/relationships/image" Target="media/image1.gif"/><Relationship Id="rId19" Type="http://schemas.openxmlformats.org/officeDocument/2006/relationships/image" Target="media/image3.emf"/><Relationship Id="rId31" Type="http://schemas.openxmlformats.org/officeDocument/2006/relationships/chart" Target="charts/chart9.xml"/><Relationship Id="rId44" Type="http://schemas.openxmlformats.org/officeDocument/2006/relationships/image" Target="media/image17.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6.emf"/><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image" Target="media/image11.jpeg"/><Relationship Id="rId46" Type="http://schemas.openxmlformats.org/officeDocument/2006/relationships/image" Target="media/image19.jpeg"/><Relationship Id="rId20" Type="http://schemas.openxmlformats.org/officeDocument/2006/relationships/image" Target="media/image4.emf"/><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riam\Desktop\Pr&#225;cticas\datos%20b&#225;sicos\municipo_padron_piramid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[municipo_padron_piramide.xlsx]dibujo piramide grupo!Tabla dinámica3</c:name>
    <c:fmtId val="-1"/>
  </c:pivotSource>
  <c:chart>
    <c:title>
      <c:tx>
        <c:rich>
          <a:bodyPr/>
          <a:lstStyle/>
          <a:p>
            <a:pPr>
              <a:defRPr sz="1400"/>
            </a:pPr>
            <a:r>
              <a:rPr lang="es-ES" sz="1400"/>
              <a:t>Pirámide</a:t>
            </a:r>
            <a:r>
              <a:rPr lang="es-ES" sz="1400" baseline="0"/>
              <a:t> de población (Bajo Aragón- Matarraña)</a:t>
            </a:r>
            <a:endParaRPr lang="es-ES" sz="1400"/>
          </a:p>
        </c:rich>
      </c:tx>
      <c:layout/>
      <c:overlay val="0"/>
    </c:title>
    <c:autoTitleDeleted val="0"/>
    <c:pivotFmts>
      <c:pivotFmt>
        <c:idx val="0"/>
        <c:spPr>
          <a:solidFill>
            <a:schemeClr val="accent1"/>
          </a:solidFill>
        </c:spPr>
        <c:marker>
          <c:symbol val="none"/>
        </c:marker>
      </c:pivotFmt>
      <c:pivotFmt>
        <c:idx val="1"/>
        <c:spPr>
          <a:solidFill>
            <a:schemeClr val="accent2"/>
          </a:solidFill>
        </c:spPr>
        <c:marker>
          <c:symbol val="none"/>
        </c:marker>
      </c:pivotFmt>
      <c:pivotFmt>
        <c:idx val="2"/>
        <c:spPr>
          <a:solidFill>
            <a:schemeClr val="accent2"/>
          </a:solidFill>
        </c:spPr>
        <c:marker>
          <c:symbol val="none"/>
        </c:marker>
      </c:pivotFmt>
      <c:pivotFmt>
        <c:idx val="3"/>
        <c:spPr>
          <a:solidFill>
            <a:schemeClr val="accent1"/>
          </a:solidFill>
        </c:spPr>
        <c:marker>
          <c:symbol val="none"/>
        </c:marker>
      </c:pivotFmt>
      <c:pivotFmt>
        <c:idx val="4"/>
        <c:spPr>
          <a:solidFill>
            <a:schemeClr val="accent2"/>
          </a:solidFill>
        </c:spPr>
        <c:marker>
          <c:symbol val="none"/>
        </c:marker>
      </c:pivotFmt>
      <c:pivotFmt>
        <c:idx val="5"/>
        <c:spPr>
          <a:solidFill>
            <a:schemeClr val="accent1"/>
          </a:solidFill>
        </c:spPr>
        <c:marker>
          <c:symbol val="none"/>
        </c:marker>
      </c:pivotFmt>
    </c:pivotFmts>
    <c:plotArea>
      <c:layout/>
      <c:barChart>
        <c:barDir val="bar"/>
        <c:grouping val="clustered"/>
        <c:varyColors val="0"/>
        <c:ser>
          <c:idx val="0"/>
          <c:order val="0"/>
          <c:tx>
            <c:strRef>
              <c:f>'dibujo piramide grupo'!$B$5:$B$6</c:f>
              <c:strCache>
                <c:ptCount val="1"/>
                <c:pt idx="0">
                  <c:v>Suma de MUJERES</c:v>
                </c:pt>
              </c:strCache>
            </c:strRef>
          </c:tx>
          <c:spPr>
            <a:solidFill>
              <a:schemeClr val="accent2"/>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grupo'!$B$7:$B$27</c:f>
              <c:numCache>
                <c:formatCode>General</c:formatCode>
                <c:ptCount val="20"/>
                <c:pt idx="0">
                  <c:v>2.3191793273600832E-2</c:v>
                </c:pt>
                <c:pt idx="1">
                  <c:v>2.4204648746915986E-2</c:v>
                </c:pt>
                <c:pt idx="2">
                  <c:v>2.1555642124399428E-2</c:v>
                </c:pt>
                <c:pt idx="3">
                  <c:v>2.171146604337099E-2</c:v>
                </c:pt>
                <c:pt idx="4">
                  <c:v>2.6386183612517856E-2</c:v>
                </c:pt>
                <c:pt idx="5">
                  <c:v>2.8567718478119723E-2</c:v>
                </c:pt>
                <c:pt idx="6">
                  <c:v>3.2567199065056486E-2</c:v>
                </c:pt>
                <c:pt idx="7">
                  <c:v>3.4125438254772107E-2</c:v>
                </c:pt>
                <c:pt idx="8">
                  <c:v>3.6384885079859756E-2</c:v>
                </c:pt>
                <c:pt idx="9">
                  <c:v>3.5320088300220751E-2</c:v>
                </c:pt>
                <c:pt idx="10">
                  <c:v>3.3320348006752369E-2</c:v>
                </c:pt>
                <c:pt idx="11">
                  <c:v>2.7710686923776134E-2</c:v>
                </c:pt>
                <c:pt idx="12">
                  <c:v>2.6282300999870147E-2</c:v>
                </c:pt>
                <c:pt idx="13">
                  <c:v>2.3815088949487081E-2</c:v>
                </c:pt>
                <c:pt idx="14">
                  <c:v>1.9555901830931047E-2</c:v>
                </c:pt>
                <c:pt idx="15">
                  <c:v>2.5996623815088951E-2</c:v>
                </c:pt>
                <c:pt idx="16">
                  <c:v>2.467212050383067E-2</c:v>
                </c:pt>
                <c:pt idx="17">
                  <c:v>1.5997922347747044E-2</c:v>
                </c:pt>
                <c:pt idx="18">
                  <c:v>7.9210492143877414E-3</c:v>
                </c:pt>
                <c:pt idx="19">
                  <c:v>2.1036229061160887E-3</c:v>
                </c:pt>
              </c:numCache>
            </c:numRef>
          </c:val>
        </c:ser>
        <c:ser>
          <c:idx val="1"/>
          <c:order val="1"/>
          <c:tx>
            <c:strRef>
              <c:f>'dibujo piramide grupo'!$C$5:$C$6</c:f>
              <c:strCache>
                <c:ptCount val="1"/>
                <c:pt idx="0">
                  <c:v>Suma de HOMBRES</c:v>
                </c:pt>
              </c:strCache>
            </c:strRef>
          </c:tx>
          <c:spPr>
            <a:solidFill>
              <a:schemeClr val="accent1"/>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grupo'!$C$7:$C$27</c:f>
              <c:numCache>
                <c:formatCode>General</c:formatCode>
                <c:ptCount val="20"/>
                <c:pt idx="0">
                  <c:v>-2.4516296584859109E-2</c:v>
                </c:pt>
                <c:pt idx="1">
                  <c:v>-2.3321646539410466E-2</c:v>
                </c:pt>
                <c:pt idx="2">
                  <c:v>-2.4905856382288014E-2</c:v>
                </c:pt>
                <c:pt idx="3">
                  <c:v>-2.3815088949487081E-2</c:v>
                </c:pt>
                <c:pt idx="4">
                  <c:v>-2.5269445526554992E-2</c:v>
                </c:pt>
                <c:pt idx="5">
                  <c:v>-3.2255551227113363E-2</c:v>
                </c:pt>
                <c:pt idx="6">
                  <c:v>-3.835865472016621E-2</c:v>
                </c:pt>
                <c:pt idx="7">
                  <c:v>-4.1137514608492402E-2</c:v>
                </c:pt>
                <c:pt idx="8">
                  <c:v>-3.9241656927671731E-2</c:v>
                </c:pt>
                <c:pt idx="9">
                  <c:v>-3.9527334112452926E-2</c:v>
                </c:pt>
                <c:pt idx="10">
                  <c:v>-3.7423711206336842E-2</c:v>
                </c:pt>
                <c:pt idx="11">
                  <c:v>-3.1658226204389038E-2</c:v>
                </c:pt>
                <c:pt idx="12">
                  <c:v>-2.6697831450460979E-2</c:v>
                </c:pt>
                <c:pt idx="13">
                  <c:v>-2.4412413972211403E-2</c:v>
                </c:pt>
                <c:pt idx="14">
                  <c:v>-1.8309310479158552E-2</c:v>
                </c:pt>
                <c:pt idx="15">
                  <c:v>-2.1815348656018699E-2</c:v>
                </c:pt>
                <c:pt idx="16">
                  <c:v>-1.9607843137254902E-2</c:v>
                </c:pt>
                <c:pt idx="17">
                  <c:v>-1.1868588495000649E-2</c:v>
                </c:pt>
                <c:pt idx="18">
                  <c:v>-3.6878327489936373E-3</c:v>
                </c:pt>
                <c:pt idx="19">
                  <c:v>-7.7911959485781068E-4</c:v>
                </c:pt>
              </c:numCache>
            </c:numRef>
          </c:val>
        </c:ser>
        <c:dLbls>
          <c:showLegendKey val="0"/>
          <c:showVal val="0"/>
          <c:showCatName val="0"/>
          <c:showSerName val="0"/>
          <c:showPercent val="0"/>
          <c:showBubbleSize val="0"/>
        </c:dLbls>
        <c:gapWidth val="150"/>
        <c:axId val="116936704"/>
        <c:axId val="96212608"/>
      </c:barChart>
      <c:catAx>
        <c:axId val="116936704"/>
        <c:scaling>
          <c:orientation val="minMax"/>
        </c:scaling>
        <c:delete val="0"/>
        <c:axPos val="l"/>
        <c:majorTickMark val="out"/>
        <c:minorTickMark val="none"/>
        <c:tickLblPos val="low"/>
        <c:crossAx val="96212608"/>
        <c:crosses val="autoZero"/>
        <c:auto val="1"/>
        <c:lblAlgn val="ctr"/>
        <c:lblOffset val="100"/>
        <c:noMultiLvlLbl val="0"/>
      </c:catAx>
      <c:valAx>
        <c:axId val="96212608"/>
        <c:scaling>
          <c:orientation val="minMax"/>
        </c:scaling>
        <c:delete val="1"/>
        <c:axPos val="b"/>
        <c:majorGridlines/>
        <c:numFmt formatCode="General" sourceLinked="1"/>
        <c:majorTickMark val="out"/>
        <c:minorTickMark val="none"/>
        <c:tickLblPos val="nextTo"/>
        <c:crossAx val="116936704"/>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SEP!Tabla dinámica1</c:name>
    <c:fmtId val="-1"/>
  </c:pivotSource>
  <c:chart>
    <c:title>
      <c:tx>
        <c:rich>
          <a:bodyPr/>
          <a:lstStyle/>
          <a:p>
            <a:pPr>
              <a:defRPr sz="1400"/>
            </a:pPr>
            <a:r>
              <a:rPr lang="es-ES" sz="1400"/>
              <a:t>BAJO ARAGÓN MATARRAÑA</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manualLayout>
          <c:layoutTarget val="inner"/>
          <c:xMode val="edge"/>
          <c:yMode val="edge"/>
          <c:x val="7.9769528255870664E-2"/>
          <c:y val="0.1496362674814902"/>
          <c:w val="0.89589418855828862"/>
          <c:h val="0.62148460453637322"/>
        </c:manualLayout>
      </c:layout>
      <c:barChart>
        <c:barDir val="col"/>
        <c:grouping val="clustered"/>
        <c:varyColors val="0"/>
        <c:ser>
          <c:idx val="0"/>
          <c:order val="0"/>
          <c:tx>
            <c:strRef>
              <c:f>'afiliaciones tramos y grupo SEP'!$B$7:$B$8</c:f>
              <c:strCache>
                <c:ptCount val="1"/>
                <c:pt idx="0">
                  <c:v>Suma de Hombres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SEP'!$B$9:$B$21</c:f>
              <c:numCache>
                <c:formatCode>General</c:formatCode>
                <c:ptCount val="12"/>
                <c:pt idx="0">
                  <c:v>53</c:v>
                </c:pt>
                <c:pt idx="1">
                  <c:v>341</c:v>
                </c:pt>
                <c:pt idx="2">
                  <c:v>627</c:v>
                </c:pt>
                <c:pt idx="3">
                  <c:v>855</c:v>
                </c:pt>
                <c:pt idx="4">
                  <c:v>1056</c:v>
                </c:pt>
                <c:pt idx="5">
                  <c:v>1036</c:v>
                </c:pt>
                <c:pt idx="6">
                  <c:v>1046</c:v>
                </c:pt>
                <c:pt idx="7">
                  <c:v>965</c:v>
                </c:pt>
                <c:pt idx="8">
                  <c:v>754</c:v>
                </c:pt>
                <c:pt idx="9">
                  <c:v>489</c:v>
                </c:pt>
                <c:pt idx="10">
                  <c:v>42</c:v>
                </c:pt>
                <c:pt idx="11">
                  <c:v>12</c:v>
                </c:pt>
              </c:numCache>
            </c:numRef>
          </c:val>
        </c:ser>
        <c:ser>
          <c:idx val="1"/>
          <c:order val="1"/>
          <c:tx>
            <c:strRef>
              <c:f>'afiliaciones tramos y grupo SEP'!$C$7:$C$8</c:f>
              <c:strCache>
                <c:ptCount val="1"/>
                <c:pt idx="0">
                  <c:v>Suma de Mujeres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SEP'!$C$9:$C$21</c:f>
              <c:numCache>
                <c:formatCode>General</c:formatCode>
                <c:ptCount val="12"/>
                <c:pt idx="0">
                  <c:v>23</c:v>
                </c:pt>
                <c:pt idx="1">
                  <c:v>234</c:v>
                </c:pt>
                <c:pt idx="2">
                  <c:v>537</c:v>
                </c:pt>
                <c:pt idx="3">
                  <c:v>686</c:v>
                </c:pt>
                <c:pt idx="4">
                  <c:v>847</c:v>
                </c:pt>
                <c:pt idx="5">
                  <c:v>809</c:v>
                </c:pt>
                <c:pt idx="6">
                  <c:v>845</c:v>
                </c:pt>
                <c:pt idx="7">
                  <c:v>767</c:v>
                </c:pt>
                <c:pt idx="8">
                  <c:v>579</c:v>
                </c:pt>
                <c:pt idx="9">
                  <c:v>399</c:v>
                </c:pt>
                <c:pt idx="10">
                  <c:v>36</c:v>
                </c:pt>
                <c:pt idx="11">
                  <c:v>8</c:v>
                </c:pt>
              </c:numCache>
            </c:numRef>
          </c:val>
        </c:ser>
        <c:ser>
          <c:idx val="2"/>
          <c:order val="2"/>
          <c:tx>
            <c:strRef>
              <c:f>'afiliaciones tramos y grupo SEP'!$D$7:$D$8</c:f>
              <c:strCache>
                <c:ptCount val="1"/>
                <c:pt idx="0">
                  <c:v>Suma de total</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SEP'!$D$9:$D$21</c:f>
              <c:numCache>
                <c:formatCode>General</c:formatCode>
                <c:ptCount val="12"/>
                <c:pt idx="0">
                  <c:v>76</c:v>
                </c:pt>
                <c:pt idx="1">
                  <c:v>575</c:v>
                </c:pt>
                <c:pt idx="2">
                  <c:v>1164</c:v>
                </c:pt>
                <c:pt idx="3">
                  <c:v>1541</c:v>
                </c:pt>
                <c:pt idx="4">
                  <c:v>1903</c:v>
                </c:pt>
                <c:pt idx="5">
                  <c:v>1845</c:v>
                </c:pt>
                <c:pt idx="6">
                  <c:v>1891</c:v>
                </c:pt>
                <c:pt idx="7">
                  <c:v>1732</c:v>
                </c:pt>
                <c:pt idx="8">
                  <c:v>1333</c:v>
                </c:pt>
                <c:pt idx="9">
                  <c:v>888</c:v>
                </c:pt>
                <c:pt idx="10">
                  <c:v>78</c:v>
                </c:pt>
                <c:pt idx="11">
                  <c:v>20</c:v>
                </c:pt>
              </c:numCache>
            </c:numRef>
          </c:val>
        </c:ser>
        <c:dLbls>
          <c:showLegendKey val="0"/>
          <c:showVal val="0"/>
          <c:showCatName val="0"/>
          <c:showSerName val="0"/>
          <c:showPercent val="0"/>
          <c:showBubbleSize val="0"/>
        </c:dLbls>
        <c:gapWidth val="150"/>
        <c:axId val="117904896"/>
        <c:axId val="117788032"/>
      </c:barChart>
      <c:catAx>
        <c:axId val="117904896"/>
        <c:scaling>
          <c:orientation val="minMax"/>
        </c:scaling>
        <c:delete val="0"/>
        <c:axPos val="b"/>
        <c:majorTickMark val="out"/>
        <c:minorTickMark val="none"/>
        <c:tickLblPos val="nextTo"/>
        <c:crossAx val="117788032"/>
        <c:crosses val="autoZero"/>
        <c:auto val="1"/>
        <c:lblAlgn val="ctr"/>
        <c:lblOffset val="100"/>
        <c:noMultiLvlLbl val="0"/>
      </c:catAx>
      <c:valAx>
        <c:axId val="117788032"/>
        <c:scaling>
          <c:orientation val="minMax"/>
        </c:scaling>
        <c:delete val="0"/>
        <c:axPos val="l"/>
        <c:majorGridlines/>
        <c:numFmt formatCode="General" sourceLinked="1"/>
        <c:majorTickMark val="out"/>
        <c:minorTickMark val="none"/>
        <c:tickLblPos val="nextTo"/>
        <c:crossAx val="117904896"/>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JUN!Tabla dinámica1</c:name>
    <c:fmtId val="-1"/>
  </c:pivotSource>
  <c:chart>
    <c:title>
      <c:tx>
        <c:rich>
          <a:bodyPr/>
          <a:lstStyle/>
          <a:p>
            <a:pPr>
              <a:defRPr sz="1400"/>
            </a:pPr>
            <a:r>
              <a:rPr lang="es-ES" sz="1400"/>
              <a:t>BAJO</a:t>
            </a:r>
            <a:r>
              <a:rPr lang="es-ES" sz="1400" baseline="0"/>
              <a:t> ARAGÓN MATARRAÑA</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manualLayout>
          <c:layoutTarget val="inner"/>
          <c:xMode val="edge"/>
          <c:yMode val="edge"/>
          <c:x val="7.8793327735256866E-2"/>
          <c:y val="9.338735001874765E-2"/>
          <c:w val="0.89716821072628161"/>
          <c:h val="0.67841470988001495"/>
        </c:manualLayout>
      </c:layout>
      <c:barChart>
        <c:barDir val="col"/>
        <c:grouping val="clustered"/>
        <c:varyColors val="0"/>
        <c:ser>
          <c:idx val="0"/>
          <c:order val="0"/>
          <c:tx>
            <c:strRef>
              <c:f>'afiliaciones tramos y grupo JUN'!$B$7:$B$8</c:f>
              <c:strCache>
                <c:ptCount val="1"/>
                <c:pt idx="0">
                  <c:v>Altas seg. social hombres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JUN'!$B$9:$B$21</c:f>
              <c:numCache>
                <c:formatCode>General</c:formatCode>
                <c:ptCount val="12"/>
                <c:pt idx="0">
                  <c:v>62</c:v>
                </c:pt>
                <c:pt idx="1">
                  <c:v>348</c:v>
                </c:pt>
                <c:pt idx="2">
                  <c:v>656</c:v>
                </c:pt>
                <c:pt idx="3">
                  <c:v>880</c:v>
                </c:pt>
                <c:pt idx="4">
                  <c:v>1104</c:v>
                </c:pt>
                <c:pt idx="5">
                  <c:v>1032</c:v>
                </c:pt>
                <c:pt idx="6">
                  <c:v>1038</c:v>
                </c:pt>
                <c:pt idx="7">
                  <c:v>969</c:v>
                </c:pt>
                <c:pt idx="8">
                  <c:v>739</c:v>
                </c:pt>
                <c:pt idx="9">
                  <c:v>487</c:v>
                </c:pt>
                <c:pt idx="10">
                  <c:v>38</c:v>
                </c:pt>
                <c:pt idx="11">
                  <c:v>12</c:v>
                </c:pt>
              </c:numCache>
            </c:numRef>
          </c:val>
        </c:ser>
        <c:ser>
          <c:idx val="1"/>
          <c:order val="1"/>
          <c:tx>
            <c:strRef>
              <c:f>'afiliaciones tramos y grupo JUN'!$C$7:$C$8</c:f>
              <c:strCache>
                <c:ptCount val="1"/>
                <c:pt idx="0">
                  <c:v>Altas seg. social Mujeres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JUN'!$C$9:$C$21</c:f>
              <c:numCache>
                <c:formatCode>General</c:formatCode>
                <c:ptCount val="12"/>
                <c:pt idx="0">
                  <c:v>37</c:v>
                </c:pt>
                <c:pt idx="1">
                  <c:v>251</c:v>
                </c:pt>
                <c:pt idx="2">
                  <c:v>534</c:v>
                </c:pt>
                <c:pt idx="3">
                  <c:v>711</c:v>
                </c:pt>
                <c:pt idx="4">
                  <c:v>836</c:v>
                </c:pt>
                <c:pt idx="5">
                  <c:v>804</c:v>
                </c:pt>
                <c:pt idx="6">
                  <c:v>832</c:v>
                </c:pt>
                <c:pt idx="7">
                  <c:v>757</c:v>
                </c:pt>
                <c:pt idx="8">
                  <c:v>551</c:v>
                </c:pt>
                <c:pt idx="9">
                  <c:v>397</c:v>
                </c:pt>
                <c:pt idx="10">
                  <c:v>32</c:v>
                </c:pt>
                <c:pt idx="11">
                  <c:v>8</c:v>
                </c:pt>
              </c:numCache>
            </c:numRef>
          </c:val>
        </c:ser>
        <c:dLbls>
          <c:showLegendKey val="0"/>
          <c:showVal val="0"/>
          <c:showCatName val="0"/>
          <c:showSerName val="0"/>
          <c:showPercent val="0"/>
          <c:showBubbleSize val="0"/>
        </c:dLbls>
        <c:gapWidth val="150"/>
        <c:axId val="117903360"/>
        <c:axId val="117789760"/>
      </c:barChart>
      <c:catAx>
        <c:axId val="117903360"/>
        <c:scaling>
          <c:orientation val="minMax"/>
        </c:scaling>
        <c:delete val="0"/>
        <c:axPos val="b"/>
        <c:majorTickMark val="out"/>
        <c:minorTickMark val="none"/>
        <c:tickLblPos val="nextTo"/>
        <c:crossAx val="117789760"/>
        <c:crosses val="autoZero"/>
        <c:auto val="1"/>
        <c:lblAlgn val="ctr"/>
        <c:lblOffset val="100"/>
        <c:noMultiLvlLbl val="0"/>
      </c:catAx>
      <c:valAx>
        <c:axId val="117789760"/>
        <c:scaling>
          <c:orientation val="minMax"/>
        </c:scaling>
        <c:delete val="0"/>
        <c:axPos val="l"/>
        <c:majorGridlines/>
        <c:numFmt formatCode="General" sourceLinked="1"/>
        <c:majorTickMark val="out"/>
        <c:minorTickMark val="none"/>
        <c:tickLblPos val="nextTo"/>
        <c:crossAx val="117903360"/>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social.xlsx]Tabla régimen-actividad JUN!Tabla dinámica1</c:name>
    <c:fmtId val="-1"/>
  </c:pivotSource>
  <c:chart>
    <c:title>
      <c:tx>
        <c:rich>
          <a:bodyPr/>
          <a:lstStyle/>
          <a:p>
            <a:pPr>
              <a:defRPr sz="1400"/>
            </a:pPr>
            <a:r>
              <a:rPr lang="es-ES" sz="1400"/>
              <a:t>Altas</a:t>
            </a:r>
            <a:r>
              <a:rPr lang="es-ES" sz="1400" baseline="0"/>
              <a:t> por sector y grupo de actividad</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2.3108453114764827E-2"/>
          <c:y val="0.14626934775676406"/>
          <c:w val="0.65445633253097246"/>
          <c:h val="0.63407106237888489"/>
        </c:manualLayout>
      </c:layout>
      <c:bar3DChart>
        <c:barDir val="col"/>
        <c:grouping val="clustered"/>
        <c:varyColors val="0"/>
        <c:ser>
          <c:idx val="0"/>
          <c:order val="0"/>
          <c:tx>
            <c:strRef>
              <c:f>'Tabla régimen-actividad JUN'!$B$7:$B$8</c:f>
              <c:strCache>
                <c:ptCount val="1"/>
                <c:pt idx="0">
                  <c:v>Total del régimen Agricultura, ganadería y pesca</c:v>
                </c:pt>
              </c:strCache>
            </c:strRef>
          </c:tx>
          <c:invertIfNegative val="0"/>
          <c:cat>
            <c:multiLvlStrRef>
              <c:f>'Tabla régimen-actividad JUN'!$A$9:$A$11</c:f>
              <c:multiLvlStrCache>
                <c:ptCount val="2"/>
                <c:lvl>
                  <c:pt idx="0">
                    <c:v>Autónomos</c:v>
                  </c:pt>
                  <c:pt idx="1">
                    <c:v>General</c:v>
                  </c:pt>
                </c:lvl>
                <c:lvl>
                  <c:pt idx="0">
                    <c:v>BAJO ARAGON MATARRAÑ</c:v>
                  </c:pt>
                </c:lvl>
              </c:multiLvlStrCache>
            </c:multiLvlStrRef>
          </c:cat>
          <c:val>
            <c:numRef>
              <c:f>'Tabla régimen-actividad JUN'!$B$9:$B$11</c:f>
              <c:numCache>
                <c:formatCode>General</c:formatCode>
                <c:ptCount val="2"/>
                <c:pt idx="0">
                  <c:v>1698</c:v>
                </c:pt>
                <c:pt idx="1">
                  <c:v>1168</c:v>
                </c:pt>
              </c:numCache>
            </c:numRef>
          </c:val>
        </c:ser>
        <c:ser>
          <c:idx val="1"/>
          <c:order val="1"/>
          <c:tx>
            <c:strRef>
              <c:f>'Tabla régimen-actividad JUN'!$C$7:$C$8</c:f>
              <c:strCache>
                <c:ptCount val="1"/>
                <c:pt idx="0">
                  <c:v>Total del régimen Industria y energía</c:v>
                </c:pt>
              </c:strCache>
            </c:strRef>
          </c:tx>
          <c:invertIfNegative val="0"/>
          <c:cat>
            <c:multiLvlStrRef>
              <c:f>'Tabla régimen-actividad JUN'!$A$9:$A$11</c:f>
              <c:multiLvlStrCache>
                <c:ptCount val="2"/>
                <c:lvl>
                  <c:pt idx="0">
                    <c:v>Autónomos</c:v>
                  </c:pt>
                  <c:pt idx="1">
                    <c:v>General</c:v>
                  </c:pt>
                </c:lvl>
                <c:lvl>
                  <c:pt idx="0">
                    <c:v>BAJO ARAGON MATARRAÑ</c:v>
                  </c:pt>
                </c:lvl>
              </c:multiLvlStrCache>
            </c:multiLvlStrRef>
          </c:cat>
          <c:val>
            <c:numRef>
              <c:f>'Tabla régimen-actividad JUN'!$C$9:$C$11</c:f>
              <c:numCache>
                <c:formatCode>General</c:formatCode>
                <c:ptCount val="2"/>
                <c:pt idx="0">
                  <c:v>321</c:v>
                </c:pt>
                <c:pt idx="1">
                  <c:v>1454</c:v>
                </c:pt>
              </c:numCache>
            </c:numRef>
          </c:val>
        </c:ser>
        <c:ser>
          <c:idx val="2"/>
          <c:order val="2"/>
          <c:tx>
            <c:strRef>
              <c:f>'Tabla régimen-actividad JUN'!$D$7:$D$8</c:f>
              <c:strCache>
                <c:ptCount val="1"/>
                <c:pt idx="0">
                  <c:v>Total del régimen Construcción</c:v>
                </c:pt>
              </c:strCache>
            </c:strRef>
          </c:tx>
          <c:invertIfNegative val="0"/>
          <c:cat>
            <c:multiLvlStrRef>
              <c:f>'Tabla régimen-actividad JUN'!$A$9:$A$11</c:f>
              <c:multiLvlStrCache>
                <c:ptCount val="2"/>
                <c:lvl>
                  <c:pt idx="0">
                    <c:v>Autónomos</c:v>
                  </c:pt>
                  <c:pt idx="1">
                    <c:v>General</c:v>
                  </c:pt>
                </c:lvl>
                <c:lvl>
                  <c:pt idx="0">
                    <c:v>BAJO ARAGON MATARRAÑ</c:v>
                  </c:pt>
                </c:lvl>
              </c:multiLvlStrCache>
            </c:multiLvlStrRef>
          </c:cat>
          <c:val>
            <c:numRef>
              <c:f>'Tabla régimen-actividad JUN'!$D$9:$D$11</c:f>
              <c:numCache>
                <c:formatCode>General</c:formatCode>
                <c:ptCount val="2"/>
                <c:pt idx="0">
                  <c:v>605</c:v>
                </c:pt>
                <c:pt idx="1">
                  <c:v>766</c:v>
                </c:pt>
              </c:numCache>
            </c:numRef>
          </c:val>
        </c:ser>
        <c:ser>
          <c:idx val="3"/>
          <c:order val="3"/>
          <c:tx>
            <c:strRef>
              <c:f>'Tabla régimen-actividad JUN'!$E$7:$E$8</c:f>
              <c:strCache>
                <c:ptCount val="1"/>
                <c:pt idx="0">
                  <c:v>Total del régimen Servicios</c:v>
                </c:pt>
              </c:strCache>
            </c:strRef>
          </c:tx>
          <c:invertIfNegative val="0"/>
          <c:cat>
            <c:multiLvlStrRef>
              <c:f>'Tabla régimen-actividad JUN'!$A$9:$A$11</c:f>
              <c:multiLvlStrCache>
                <c:ptCount val="2"/>
                <c:lvl>
                  <c:pt idx="0">
                    <c:v>Autónomos</c:v>
                  </c:pt>
                  <c:pt idx="1">
                    <c:v>General</c:v>
                  </c:pt>
                </c:lvl>
                <c:lvl>
                  <c:pt idx="0">
                    <c:v>BAJO ARAGON MATARRAÑ</c:v>
                  </c:pt>
                </c:lvl>
              </c:multiLvlStrCache>
            </c:multiLvlStrRef>
          </c:cat>
          <c:val>
            <c:numRef>
              <c:f>'Tabla régimen-actividad JUN'!$E$9:$E$11</c:f>
              <c:numCache>
                <c:formatCode>General</c:formatCode>
                <c:ptCount val="2"/>
                <c:pt idx="0">
                  <c:v>1912</c:v>
                </c:pt>
                <c:pt idx="1">
                  <c:v>5191</c:v>
                </c:pt>
              </c:numCache>
            </c:numRef>
          </c:val>
        </c:ser>
        <c:dLbls>
          <c:showLegendKey val="0"/>
          <c:showVal val="0"/>
          <c:showCatName val="0"/>
          <c:showSerName val="0"/>
          <c:showPercent val="0"/>
          <c:showBubbleSize val="0"/>
        </c:dLbls>
        <c:gapWidth val="150"/>
        <c:shape val="box"/>
        <c:axId val="117905408"/>
        <c:axId val="117791488"/>
        <c:axId val="0"/>
      </c:bar3DChart>
      <c:catAx>
        <c:axId val="117905408"/>
        <c:scaling>
          <c:orientation val="minMax"/>
        </c:scaling>
        <c:delete val="0"/>
        <c:axPos val="b"/>
        <c:majorTickMark val="out"/>
        <c:minorTickMark val="none"/>
        <c:tickLblPos val="nextTo"/>
        <c:crossAx val="117791488"/>
        <c:crosses val="autoZero"/>
        <c:auto val="1"/>
        <c:lblAlgn val="ctr"/>
        <c:lblOffset val="100"/>
        <c:noMultiLvlLbl val="0"/>
      </c:catAx>
      <c:valAx>
        <c:axId val="117791488"/>
        <c:scaling>
          <c:orientation val="minMax"/>
        </c:scaling>
        <c:delete val="0"/>
        <c:axPos val="l"/>
        <c:majorGridlines/>
        <c:numFmt formatCode="General" sourceLinked="1"/>
        <c:majorTickMark val="out"/>
        <c:minorTickMark val="none"/>
        <c:tickLblPos val="nextTo"/>
        <c:crossAx val="117905408"/>
        <c:crosses val="autoZero"/>
        <c:crossBetween val="between"/>
      </c:valAx>
    </c:plotArea>
    <c:legend>
      <c:legendPos val="b"/>
      <c:layout>
        <c:manualLayout>
          <c:xMode val="edge"/>
          <c:yMode val="edge"/>
          <c:x val="0.7401000231188718"/>
          <c:y val="0.14070939730664508"/>
          <c:w val="0.24518855479852583"/>
          <c:h val="0.70352736281796546"/>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social.xlsx]Gráfico altas régimen y sexo!Tabla dinámica3</c:name>
    <c:fmtId val="-1"/>
  </c:pivotSource>
  <c:chart>
    <c:title>
      <c:tx>
        <c:rich>
          <a:bodyPr/>
          <a:lstStyle/>
          <a:p>
            <a:pPr>
              <a:defRPr sz="1400"/>
            </a:pPr>
            <a:r>
              <a:rPr lang="es-ES" sz="1400"/>
              <a:t>Altas por sexo</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7.9999626018250308E-2"/>
          <c:y val="0.12428031955189275"/>
          <c:w val="0.89841142752233694"/>
          <c:h val="0.639982725373614"/>
        </c:manualLayout>
      </c:layout>
      <c:bar3DChart>
        <c:barDir val="col"/>
        <c:grouping val="clustered"/>
        <c:varyColors val="0"/>
        <c:ser>
          <c:idx val="0"/>
          <c:order val="0"/>
          <c:tx>
            <c:strRef>
              <c:f>'Gráfico altas régimen y sexo'!$C$7:$C$8</c:f>
              <c:strCache>
                <c:ptCount val="1"/>
                <c:pt idx="0">
                  <c:v>Suma de total</c:v>
                </c:pt>
              </c:strCache>
            </c:strRef>
          </c:tx>
          <c:invertIfNegative val="0"/>
          <c:cat>
            <c:multiLvlStrRef>
              <c:f>'Gráfico altas régimen y sexo'!$A$9:$B$12</c:f>
              <c:multiLvlStrCache>
                <c:ptCount val="2"/>
                <c:lvl>
                  <c:pt idx="0">
                    <c:v>Autónomos</c:v>
                  </c:pt>
                  <c:pt idx="1">
                    <c:v>General</c:v>
                  </c:pt>
                </c:lvl>
                <c:lvl>
                  <c:pt idx="0">
                    <c:v>BAJO ARAGON MATARRAÑ</c:v>
                  </c:pt>
                </c:lvl>
              </c:multiLvlStrCache>
            </c:multiLvlStrRef>
          </c:cat>
          <c:val>
            <c:numRef>
              <c:f>'Gráfico altas régimen y sexo'!$C$9:$C$12</c:f>
              <c:numCache>
                <c:formatCode>General</c:formatCode>
                <c:ptCount val="2"/>
                <c:pt idx="0">
                  <c:v>4499</c:v>
                </c:pt>
                <c:pt idx="1">
                  <c:v>8547</c:v>
                </c:pt>
              </c:numCache>
            </c:numRef>
          </c:val>
        </c:ser>
        <c:ser>
          <c:idx val="1"/>
          <c:order val="1"/>
          <c:tx>
            <c:strRef>
              <c:f>'Gráfico altas régimen y sexo'!$D$7:$D$8</c:f>
              <c:strCache>
                <c:ptCount val="1"/>
                <c:pt idx="0">
                  <c:v>Suma de Hombres</c:v>
                </c:pt>
              </c:strCache>
            </c:strRef>
          </c:tx>
          <c:invertIfNegative val="0"/>
          <c:cat>
            <c:multiLvlStrRef>
              <c:f>'Gráfico altas régimen y sexo'!$A$9:$B$12</c:f>
              <c:multiLvlStrCache>
                <c:ptCount val="2"/>
                <c:lvl>
                  <c:pt idx="0">
                    <c:v>Autónomos</c:v>
                  </c:pt>
                  <c:pt idx="1">
                    <c:v>General</c:v>
                  </c:pt>
                </c:lvl>
                <c:lvl>
                  <c:pt idx="0">
                    <c:v>BAJO ARAGON MATARRAÑ</c:v>
                  </c:pt>
                </c:lvl>
              </c:multiLvlStrCache>
            </c:multiLvlStrRef>
          </c:cat>
          <c:val>
            <c:numRef>
              <c:f>'Gráfico altas régimen y sexo'!$D$9:$D$12</c:f>
              <c:numCache>
                <c:formatCode>General</c:formatCode>
                <c:ptCount val="2"/>
                <c:pt idx="0">
                  <c:v>2895</c:v>
                </c:pt>
                <c:pt idx="1">
                  <c:v>4381</c:v>
                </c:pt>
              </c:numCache>
            </c:numRef>
          </c:val>
        </c:ser>
        <c:ser>
          <c:idx val="2"/>
          <c:order val="2"/>
          <c:tx>
            <c:strRef>
              <c:f>'Gráfico altas régimen y sexo'!$E$7:$E$8</c:f>
              <c:strCache>
                <c:ptCount val="1"/>
                <c:pt idx="0">
                  <c:v>Suma de Mujeres</c:v>
                </c:pt>
              </c:strCache>
            </c:strRef>
          </c:tx>
          <c:invertIfNegative val="0"/>
          <c:cat>
            <c:multiLvlStrRef>
              <c:f>'Gráfico altas régimen y sexo'!$A$9:$B$12</c:f>
              <c:multiLvlStrCache>
                <c:ptCount val="2"/>
                <c:lvl>
                  <c:pt idx="0">
                    <c:v>Autónomos</c:v>
                  </c:pt>
                  <c:pt idx="1">
                    <c:v>General</c:v>
                  </c:pt>
                </c:lvl>
                <c:lvl>
                  <c:pt idx="0">
                    <c:v>BAJO ARAGON MATARRAÑ</c:v>
                  </c:pt>
                </c:lvl>
              </c:multiLvlStrCache>
            </c:multiLvlStrRef>
          </c:cat>
          <c:val>
            <c:numRef>
              <c:f>'Gráfico altas régimen y sexo'!$E$9:$E$12</c:f>
              <c:numCache>
                <c:formatCode>General</c:formatCode>
                <c:ptCount val="2"/>
                <c:pt idx="0">
                  <c:v>1604</c:v>
                </c:pt>
                <c:pt idx="1">
                  <c:v>4166</c:v>
                </c:pt>
              </c:numCache>
            </c:numRef>
          </c:val>
        </c:ser>
        <c:dLbls>
          <c:showLegendKey val="0"/>
          <c:showVal val="0"/>
          <c:showCatName val="0"/>
          <c:showSerName val="0"/>
          <c:showPercent val="0"/>
          <c:showBubbleSize val="0"/>
        </c:dLbls>
        <c:gapWidth val="150"/>
        <c:shape val="box"/>
        <c:axId val="118272512"/>
        <c:axId val="118112832"/>
        <c:axId val="0"/>
      </c:bar3DChart>
      <c:catAx>
        <c:axId val="118272512"/>
        <c:scaling>
          <c:orientation val="minMax"/>
        </c:scaling>
        <c:delete val="0"/>
        <c:axPos val="b"/>
        <c:majorTickMark val="out"/>
        <c:minorTickMark val="none"/>
        <c:tickLblPos val="nextTo"/>
        <c:crossAx val="118112832"/>
        <c:crosses val="autoZero"/>
        <c:auto val="1"/>
        <c:lblAlgn val="ctr"/>
        <c:lblOffset val="100"/>
        <c:noMultiLvlLbl val="0"/>
      </c:catAx>
      <c:valAx>
        <c:axId val="118112832"/>
        <c:scaling>
          <c:orientation val="minMax"/>
        </c:scaling>
        <c:delete val="0"/>
        <c:axPos val="l"/>
        <c:majorGridlines/>
        <c:numFmt formatCode="General" sourceLinked="1"/>
        <c:majorTickMark val="out"/>
        <c:minorTickMark val="none"/>
        <c:tickLblPos val="nextTo"/>
        <c:crossAx val="118272512"/>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histórico INDIVIDUAL!Tabla dinámica1</c:name>
    <c:fmtId val="-1"/>
  </c:pivotSource>
  <c:chart>
    <c:title>
      <c:tx>
        <c:rich>
          <a:bodyPr/>
          <a:lstStyle/>
          <a:p>
            <a:pPr>
              <a:defRPr sz="1400"/>
            </a:pPr>
            <a:r>
              <a:rPr lang="en-US" sz="1400"/>
              <a:t>BAJO</a:t>
            </a:r>
            <a:r>
              <a:rPr lang="en-US" sz="1400" baseline="0"/>
              <a:t> ARAGÓN MATARRAÑA</a:t>
            </a:r>
            <a:endParaRPr lang="en-US" sz="1400"/>
          </a:p>
        </c:rich>
      </c:tx>
      <c:layout/>
      <c:overlay val="1"/>
    </c:title>
    <c:autoTitleDeleted val="0"/>
    <c:pivotFmts>
      <c:pivotFmt>
        <c:idx val="0"/>
      </c:pivotFmt>
      <c:pivotFmt>
        <c:idx val="1"/>
      </c:pivotFmt>
      <c:pivotFmt>
        <c:idx val="2"/>
      </c:pivotFmt>
    </c:pivotFmts>
    <c:plotArea>
      <c:layout>
        <c:manualLayout>
          <c:layoutTarget val="inner"/>
          <c:xMode val="edge"/>
          <c:yMode val="edge"/>
          <c:x val="9.6630232076253625E-2"/>
          <c:y val="0.10912424617491376"/>
          <c:w val="0.87752390326209229"/>
          <c:h val="0.68409593658652201"/>
        </c:manualLayout>
      </c:layout>
      <c:lineChart>
        <c:grouping val="stacked"/>
        <c:varyColors val="0"/>
        <c:ser>
          <c:idx val="0"/>
          <c:order val="0"/>
          <c:tx>
            <c:strRef>
              <c:f>'gráfico histórico INDIVIDUAL'!$B$8</c:f>
              <c:strCache>
                <c:ptCount val="1"/>
                <c:pt idx="0">
                  <c:v>Total</c:v>
                </c:pt>
              </c:strCache>
            </c:strRef>
          </c:tx>
          <c:cat>
            <c:strRef>
              <c:f>'gráfico histórico INDIVIDUAL'!$A$9:$A$21</c:f>
              <c:strCache>
                <c:ptCount val="13"/>
                <c:pt idx="0">
                  <c:v>Suma de 1900</c:v>
                </c:pt>
                <c:pt idx="1">
                  <c:v>Suma de 1910</c:v>
                </c:pt>
                <c:pt idx="2">
                  <c:v>Suma de 1920</c:v>
                </c:pt>
                <c:pt idx="3">
                  <c:v>Suma de 1930</c:v>
                </c:pt>
                <c:pt idx="4">
                  <c:v>Suma de 1940</c:v>
                </c:pt>
                <c:pt idx="5">
                  <c:v>Suma de 1950</c:v>
                </c:pt>
                <c:pt idx="6">
                  <c:v>Suma de 1960</c:v>
                </c:pt>
                <c:pt idx="7">
                  <c:v>Suma de 1970</c:v>
                </c:pt>
                <c:pt idx="8">
                  <c:v>Suma de 1981</c:v>
                </c:pt>
                <c:pt idx="9">
                  <c:v>Suma de 1991</c:v>
                </c:pt>
                <c:pt idx="10">
                  <c:v>Suma de 2001</c:v>
                </c:pt>
                <c:pt idx="11">
                  <c:v>Suma de 2011</c:v>
                </c:pt>
                <c:pt idx="12">
                  <c:v>Suma de 2013</c:v>
                </c:pt>
              </c:strCache>
            </c:strRef>
          </c:cat>
          <c:val>
            <c:numRef>
              <c:f>'gráfico histórico INDIVIDUAL'!$B$9:$B$21</c:f>
              <c:numCache>
                <c:formatCode>General</c:formatCode>
                <c:ptCount val="13"/>
                <c:pt idx="0">
                  <c:v>55982</c:v>
                </c:pt>
                <c:pt idx="1">
                  <c:v>58437</c:v>
                </c:pt>
                <c:pt idx="2">
                  <c:v>58212</c:v>
                </c:pt>
                <c:pt idx="3">
                  <c:v>56220</c:v>
                </c:pt>
                <c:pt idx="4">
                  <c:v>51571</c:v>
                </c:pt>
                <c:pt idx="5">
                  <c:v>48681</c:v>
                </c:pt>
                <c:pt idx="6">
                  <c:v>43597</c:v>
                </c:pt>
                <c:pt idx="7">
                  <c:v>38312</c:v>
                </c:pt>
                <c:pt idx="8">
                  <c:v>36244</c:v>
                </c:pt>
                <c:pt idx="9">
                  <c:v>35798</c:v>
                </c:pt>
                <c:pt idx="10">
                  <c:v>35232</c:v>
                </c:pt>
                <c:pt idx="11">
                  <c:v>38721</c:v>
                </c:pt>
                <c:pt idx="12">
                  <c:v>38505</c:v>
                </c:pt>
              </c:numCache>
            </c:numRef>
          </c:val>
          <c:smooth val="0"/>
        </c:ser>
        <c:dLbls>
          <c:showLegendKey val="0"/>
          <c:showVal val="0"/>
          <c:showCatName val="0"/>
          <c:showSerName val="0"/>
          <c:showPercent val="0"/>
          <c:showBubbleSize val="0"/>
        </c:dLbls>
        <c:marker val="1"/>
        <c:smooth val="0"/>
        <c:axId val="114007040"/>
        <c:axId val="96213760"/>
      </c:lineChart>
      <c:catAx>
        <c:axId val="114007040"/>
        <c:scaling>
          <c:orientation val="minMax"/>
        </c:scaling>
        <c:delete val="0"/>
        <c:axPos val="b"/>
        <c:majorTickMark val="out"/>
        <c:minorTickMark val="none"/>
        <c:tickLblPos val="nextTo"/>
        <c:crossAx val="96213760"/>
        <c:crosses val="autoZero"/>
        <c:auto val="1"/>
        <c:lblAlgn val="ctr"/>
        <c:lblOffset val="100"/>
        <c:noMultiLvlLbl val="0"/>
      </c:catAx>
      <c:valAx>
        <c:axId val="96213760"/>
        <c:scaling>
          <c:orientation val="minMax"/>
        </c:scaling>
        <c:delete val="0"/>
        <c:axPos val="l"/>
        <c:majorGridlines/>
        <c:numFmt formatCode="General" sourceLinked="1"/>
        <c:majorTickMark val="out"/>
        <c:minorTickMark val="none"/>
        <c:tickLblPos val="nextTo"/>
        <c:crossAx val="114007040"/>
        <c:crosses val="autoZero"/>
        <c:crossBetween val="between"/>
      </c:valAx>
    </c:plotArea>
    <c:plotVisOnly val="1"/>
    <c:dispBlanksAs val="zero"/>
    <c:showDLblsOverMax val="0"/>
  </c:chart>
  <c:spPr>
    <a:solidFill>
      <a:schemeClr val="accent4">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dinámica2</c:name>
    <c:fmtId val="-1"/>
  </c:pivotSource>
  <c:chart>
    <c:title>
      <c:tx>
        <c:rich>
          <a:bodyPr/>
          <a:lstStyle/>
          <a:p>
            <a:pPr>
              <a:defRPr sz="1400"/>
            </a:pPr>
            <a:r>
              <a:rPr lang="en-US" sz="1400"/>
              <a:t>Población</a:t>
            </a:r>
            <a:r>
              <a:rPr lang="en-US" sz="1400" baseline="0"/>
              <a:t> por municipio</a:t>
            </a:r>
            <a:endParaRPr lang="en-US" sz="1400"/>
          </a:p>
        </c:rich>
      </c:tx>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dLbl>
          <c:idx val="0"/>
          <c:spPr/>
          <c:txPr>
            <a:bodyPr/>
            <a:lstStyle/>
            <a:p>
              <a:pPr>
                <a:defRPr/>
              </a:pPr>
              <a:endParaRPr lang="es-ES"/>
            </a:p>
          </c:txPr>
          <c:dLblPos val="ctr"/>
          <c:showLegendKey val="0"/>
          <c:showVal val="1"/>
          <c:showCatName val="0"/>
          <c:showSerName val="0"/>
          <c:showPercent val="0"/>
          <c:showBubbleSize val="0"/>
        </c:dLbl>
      </c:pivotFmt>
      <c:pivotFmt>
        <c:idx val="61"/>
        <c:dLbl>
          <c:idx val="0"/>
          <c:layout>
            <c:manualLayout>
              <c:x val="3.9080459770114942E-2"/>
              <c:y val="8.7962598425196867E-2"/>
            </c:manualLayout>
          </c:layout>
          <c:dLblPos val="ctr"/>
          <c:showLegendKey val="0"/>
          <c:showVal val="1"/>
          <c:showCatName val="0"/>
          <c:showSerName val="0"/>
          <c:showPercent val="0"/>
          <c:showBubbleSize val="0"/>
        </c:dLbl>
      </c:pivotFmt>
      <c:pivotFmt>
        <c:idx val="62"/>
        <c:dLbl>
          <c:idx val="0"/>
          <c:layout>
            <c:manualLayout>
              <c:x val="-5.9770114942529075E-2"/>
              <c:y val="0.16666666666666666"/>
            </c:manualLayout>
          </c:layout>
          <c:dLblPos val="ctr"/>
          <c:showLegendKey val="0"/>
          <c:showVal val="1"/>
          <c:showCatName val="0"/>
          <c:showSerName val="0"/>
          <c:showPercent val="0"/>
          <c:showBubbleSize val="0"/>
        </c:dLbl>
      </c:pivotFmt>
      <c:pivotFmt>
        <c:idx val="63"/>
        <c:dLbl>
          <c:idx val="0"/>
          <c:layout>
            <c:manualLayout>
              <c:x val="-7.3563218390804597E-2"/>
              <c:y val="1.3888888888889006E-2"/>
            </c:manualLayout>
          </c:layout>
          <c:dLblPos val="ctr"/>
          <c:showLegendKey val="0"/>
          <c:showVal val="1"/>
          <c:showCatName val="0"/>
          <c:showSerName val="0"/>
          <c:showPercent val="0"/>
          <c:showBubbleSize val="0"/>
        </c:dLbl>
      </c:pivotFmt>
      <c:pivotFmt>
        <c:idx val="64"/>
        <c:dLbl>
          <c:idx val="0"/>
          <c:layout>
            <c:manualLayout>
              <c:x val="-4.8275862068965142E-2"/>
              <c:y val="-2.7777777777778002E-2"/>
            </c:manualLayout>
          </c:layout>
          <c:dLblPos val="ctr"/>
          <c:showLegendKey val="0"/>
          <c:showVal val="1"/>
          <c:showCatName val="0"/>
          <c:showSerName val="0"/>
          <c:showPercent val="0"/>
          <c:showBubbleSize val="0"/>
        </c:dLbl>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76"/>
      </c:pivotFmt>
      <c:pivotFmt>
        <c:idx val="77"/>
      </c:pivotFmt>
      <c:pivotFmt>
        <c:idx val="78"/>
      </c:pivotFmt>
      <c:pivotFmt>
        <c:idx val="79"/>
        <c:marker>
          <c:symbol val="none"/>
        </c:marker>
        <c:dLbl>
          <c:idx val="0"/>
          <c:spPr/>
          <c:txPr>
            <a:bodyPr/>
            <a:lstStyle/>
            <a:p>
              <a:pPr>
                <a:defRPr/>
              </a:pPr>
              <a:endParaRPr lang="es-ES"/>
            </a:p>
          </c:txPr>
          <c:showLegendKey val="0"/>
          <c:showVal val="1"/>
          <c:showCatName val="0"/>
          <c:showSerName val="0"/>
          <c:showPercent val="0"/>
          <c:showBubbleSize val="0"/>
        </c:dLbl>
      </c:pivotFmt>
      <c:pivotFmt>
        <c:idx val="80"/>
        <c:marker>
          <c:symbol val="none"/>
        </c:marker>
        <c:dLbl>
          <c:idx val="0"/>
          <c:spPr/>
          <c:txPr>
            <a:bodyPr/>
            <a:lstStyle/>
            <a:p>
              <a:pPr>
                <a:defRPr/>
              </a:pPr>
              <a:endParaRPr lang="es-ES"/>
            </a:p>
          </c:txPr>
          <c:showLegendKey val="0"/>
          <c:showVal val="1"/>
          <c:showCatName val="0"/>
          <c:showSerName val="0"/>
          <c:showPercent val="0"/>
          <c:showBubbleSize val="0"/>
        </c:dLbl>
      </c:pivotFmt>
      <c:pivotFmt>
        <c:idx val="81"/>
        <c:marker>
          <c:symbol val="none"/>
        </c:marker>
        <c:dLbl>
          <c:idx val="0"/>
          <c:spPr/>
          <c:txPr>
            <a:bodyPr/>
            <a:lstStyle/>
            <a:p>
              <a:pPr>
                <a:defRPr/>
              </a:pPr>
              <a:endParaRPr lang="es-ES"/>
            </a:p>
          </c:txPr>
          <c:showLegendKey val="0"/>
          <c:showVal val="1"/>
          <c:showCatName val="0"/>
          <c:showSerName val="0"/>
          <c:showPercent val="0"/>
          <c:showBubbleSize val="0"/>
        </c:dLbl>
      </c:pivotFmt>
      <c:pivotFmt>
        <c:idx val="82"/>
        <c:marker>
          <c:symbol val="none"/>
        </c:marker>
        <c:dLbl>
          <c:idx val="0"/>
          <c:spPr/>
          <c:txPr>
            <a:bodyPr/>
            <a:lstStyle/>
            <a:p>
              <a:pPr>
                <a:defRPr/>
              </a:pPr>
              <a:endParaRPr lang="es-ES"/>
            </a:p>
          </c:txPr>
          <c:showLegendKey val="0"/>
          <c:showVal val="1"/>
          <c:showCatName val="0"/>
          <c:showSerName val="0"/>
          <c:showPercent val="0"/>
          <c:showBubbleSize val="0"/>
        </c:dLbl>
      </c:pivotFmt>
      <c:pivotFmt>
        <c:idx val="83"/>
        <c:marker>
          <c:symbol val="none"/>
        </c:marker>
        <c:dLbl>
          <c:idx val="0"/>
          <c:spPr/>
          <c:txPr>
            <a:bodyPr/>
            <a:lstStyle/>
            <a:p>
              <a:pPr>
                <a:defRPr/>
              </a:pPr>
              <a:endParaRPr lang="es-ES"/>
            </a:p>
          </c:txPr>
          <c:showLegendKey val="0"/>
          <c:showVal val="1"/>
          <c:showCatName val="0"/>
          <c:showSerName val="0"/>
          <c:showPercent val="0"/>
          <c:showBubbleSize val="0"/>
        </c:dLbl>
      </c:pivotFmt>
      <c:pivotFmt>
        <c:idx val="84"/>
        <c:marker>
          <c:symbol val="none"/>
        </c:marker>
        <c:dLbl>
          <c:idx val="0"/>
          <c:spPr/>
          <c:txPr>
            <a:bodyPr/>
            <a:lstStyle/>
            <a:p>
              <a:pPr>
                <a:defRPr/>
              </a:pPr>
              <a:endParaRPr lang="es-ES"/>
            </a:p>
          </c:txPr>
          <c:showLegendKey val="0"/>
          <c:showVal val="1"/>
          <c:showCatName val="0"/>
          <c:showSerName val="0"/>
          <c:showPercent val="0"/>
          <c:showBubbleSize val="0"/>
        </c:dLbl>
      </c:pivotFmt>
      <c:pivotFmt>
        <c:idx val="85"/>
        <c:marker>
          <c:symbol val="none"/>
        </c:marker>
        <c:dLbl>
          <c:idx val="0"/>
          <c:spPr/>
          <c:txPr>
            <a:bodyPr/>
            <a:lstStyle/>
            <a:p>
              <a:pPr>
                <a:defRPr/>
              </a:pPr>
              <a:endParaRPr lang="es-ES"/>
            </a:p>
          </c:txPr>
          <c:showLegendKey val="0"/>
          <c:showVal val="1"/>
          <c:showCatName val="0"/>
          <c:showSerName val="0"/>
          <c:showPercent val="0"/>
          <c:showBubbleSize val="0"/>
        </c:dLbl>
      </c:pivotFmt>
      <c:pivotFmt>
        <c:idx val="86"/>
        <c:marker>
          <c:symbol val="none"/>
        </c:marker>
        <c:dLbl>
          <c:idx val="0"/>
          <c:spPr/>
          <c:txPr>
            <a:bodyPr/>
            <a:lstStyle/>
            <a:p>
              <a:pPr>
                <a:defRPr/>
              </a:pPr>
              <a:endParaRPr lang="es-ES"/>
            </a:p>
          </c:txPr>
          <c:showLegendKey val="0"/>
          <c:showVal val="1"/>
          <c:showCatName val="0"/>
          <c:showSerName val="0"/>
          <c:showPercent val="0"/>
          <c:showBubbleSize val="0"/>
        </c:dLbl>
      </c:pivotFmt>
      <c:pivotFmt>
        <c:idx val="87"/>
        <c:marker>
          <c:symbol val="none"/>
        </c:marker>
        <c:dLbl>
          <c:idx val="0"/>
          <c:spPr/>
          <c:txPr>
            <a:bodyPr/>
            <a:lstStyle/>
            <a:p>
              <a:pPr>
                <a:defRPr/>
              </a:pPr>
              <a:endParaRPr lang="es-ES"/>
            </a:p>
          </c:txPr>
          <c:showLegendKey val="0"/>
          <c:showVal val="1"/>
          <c:showCatName val="0"/>
          <c:showSerName val="0"/>
          <c:showPercent val="0"/>
          <c:showBubbleSize val="0"/>
        </c:dLbl>
      </c:pivotFmt>
      <c:pivotFmt>
        <c:idx val="88"/>
        <c:marker>
          <c:symbol val="none"/>
        </c:marker>
        <c:dLbl>
          <c:idx val="0"/>
          <c:spPr/>
          <c:txPr>
            <a:bodyPr/>
            <a:lstStyle/>
            <a:p>
              <a:pPr>
                <a:defRPr/>
              </a:pPr>
              <a:endParaRPr lang="es-ES"/>
            </a:p>
          </c:txPr>
          <c:showLegendKey val="0"/>
          <c:showVal val="1"/>
          <c:showCatName val="0"/>
          <c:showSerName val="0"/>
          <c:showPercent val="0"/>
          <c:showBubbleSize val="0"/>
        </c:dLbl>
      </c:pivotFmt>
      <c:pivotFmt>
        <c:idx val="89"/>
        <c:marker>
          <c:symbol val="none"/>
        </c:marker>
        <c:dLbl>
          <c:idx val="0"/>
          <c:spPr/>
          <c:txPr>
            <a:bodyPr/>
            <a:lstStyle/>
            <a:p>
              <a:pPr>
                <a:defRPr/>
              </a:pPr>
              <a:endParaRPr lang="es-ES"/>
            </a:p>
          </c:txPr>
          <c:showLegendKey val="0"/>
          <c:showVal val="1"/>
          <c:showCatName val="0"/>
          <c:showSerName val="0"/>
          <c:showPercent val="0"/>
          <c:showBubbleSize val="0"/>
        </c:dLbl>
      </c:pivotFmt>
      <c:pivotFmt>
        <c:idx val="90"/>
        <c:marker>
          <c:symbol val="none"/>
        </c:marker>
        <c:dLbl>
          <c:idx val="0"/>
          <c:spPr/>
          <c:txPr>
            <a:bodyPr/>
            <a:lstStyle/>
            <a:p>
              <a:pPr>
                <a:defRPr/>
              </a:pPr>
              <a:endParaRPr lang="es-ES"/>
            </a:p>
          </c:txPr>
          <c:showLegendKey val="0"/>
          <c:showVal val="1"/>
          <c:showCatName val="0"/>
          <c:showSerName val="0"/>
          <c:showPercent val="0"/>
          <c:showBubbleSize val="0"/>
        </c:dLbl>
      </c:pivotFmt>
      <c:pivotFmt>
        <c:idx val="91"/>
        <c:marker>
          <c:symbol val="none"/>
        </c:marker>
        <c:dLbl>
          <c:idx val="0"/>
          <c:spPr/>
          <c:txPr>
            <a:bodyPr/>
            <a:lstStyle/>
            <a:p>
              <a:pPr>
                <a:defRPr/>
              </a:pPr>
              <a:endParaRPr lang="es-ES"/>
            </a:p>
          </c:txPr>
          <c:showLegendKey val="0"/>
          <c:showVal val="1"/>
          <c:showCatName val="0"/>
          <c:showSerName val="0"/>
          <c:showPercent val="0"/>
          <c:showBubbleSize val="0"/>
        </c:dLbl>
      </c:pivotFmt>
      <c:pivotFmt>
        <c:idx val="92"/>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manualLayout>
          <c:layoutTarget val="inner"/>
          <c:xMode val="edge"/>
          <c:yMode val="edge"/>
          <c:x val="1.8248580996340982E-2"/>
          <c:y val="0.18969925634295731"/>
          <c:w val="0.71103330357816963"/>
          <c:h val="0.77789333624963908"/>
        </c:manualLayout>
      </c:layout>
      <c:pie3DChart>
        <c:varyColors val="1"/>
        <c:ser>
          <c:idx val="0"/>
          <c:order val="0"/>
          <c:tx>
            <c:strRef>
              <c:f>'Gráfico sectores por tamaño'!$B$5</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tamaño'!$A$6:$A$13</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tamaño'!$B$6:$B$13</c:f>
              <c:numCache>
                <c:formatCode>General</c:formatCode>
                <c:ptCount val="7"/>
                <c:pt idx="0">
                  <c:v>388</c:v>
                </c:pt>
                <c:pt idx="1">
                  <c:v>5656</c:v>
                </c:pt>
                <c:pt idx="2">
                  <c:v>3862</c:v>
                </c:pt>
                <c:pt idx="3">
                  <c:v>12215</c:v>
                </c:pt>
                <c:pt idx="4">
                  <c:v>0</c:v>
                </c:pt>
                <c:pt idx="5">
                  <c:v>16384</c:v>
                </c:pt>
                <c:pt idx="6">
                  <c:v>0</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dinámica3</c:name>
    <c:fmtId val="-1"/>
  </c:pivotSource>
  <c:chart>
    <c:title>
      <c:tx>
        <c:rich>
          <a:bodyPr/>
          <a:lstStyle/>
          <a:p>
            <a:pPr>
              <a:defRPr sz="1400"/>
            </a:pPr>
            <a:r>
              <a:rPr lang="en-US" sz="1400"/>
              <a:t>Municipios según población</a:t>
            </a:r>
          </a:p>
        </c:rich>
      </c:tx>
      <c:overlay val="0"/>
    </c:title>
    <c:autoTitleDeleted val="0"/>
    <c:pivotFmts>
      <c:pivotFmt>
        <c:idx val="0"/>
        <c:marker>
          <c:symbol val="none"/>
        </c:marker>
      </c:pivotFmt>
      <c:pivotFmt>
        <c:idx val="1"/>
        <c:marker>
          <c:symbol val="none"/>
        </c:marker>
      </c:pivotFmt>
      <c:pivotFmt>
        <c:idx val="2"/>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3"/>
        <c:marker>
          <c:symbol val="none"/>
        </c:marker>
        <c:dLbl>
          <c:idx val="0"/>
          <c:spPr/>
          <c:txPr>
            <a:bodyPr/>
            <a:lstStyle/>
            <a:p>
              <a:pPr>
                <a:defRPr/>
              </a:pPr>
              <a:endParaRPr lang="es-ES"/>
            </a:p>
          </c:txPr>
          <c:showLegendKey val="0"/>
          <c:showVal val="1"/>
          <c:showCatName val="0"/>
          <c:showSerName val="0"/>
          <c:showPercent val="0"/>
          <c:showBubbleSize val="0"/>
        </c:dLbl>
      </c:pivotFmt>
      <c:pivotFmt>
        <c:idx val="4"/>
        <c:marker>
          <c:symbol val="none"/>
        </c:marker>
        <c:dLbl>
          <c:idx val="0"/>
          <c:spPr/>
          <c:txPr>
            <a:bodyPr/>
            <a:lstStyle/>
            <a:p>
              <a:pPr>
                <a:defRPr/>
              </a:pPr>
              <a:endParaRPr lang="es-ES"/>
            </a:p>
          </c:txPr>
          <c:showLegendKey val="0"/>
          <c:showVal val="1"/>
          <c:showCatName val="0"/>
          <c:showSerName val="0"/>
          <c:showPercent val="0"/>
          <c:showBubbleSize val="0"/>
        </c:dLbl>
      </c:pivotFmt>
      <c:pivotFmt>
        <c:idx val="5"/>
        <c:marker>
          <c:symbol val="none"/>
        </c:marker>
        <c:dLbl>
          <c:idx val="0"/>
          <c:spPr/>
          <c:txPr>
            <a:bodyPr/>
            <a:lstStyle/>
            <a:p>
              <a:pPr>
                <a:defRPr/>
              </a:pPr>
              <a:endParaRPr lang="es-ES"/>
            </a:p>
          </c:txPr>
          <c:showLegendKey val="0"/>
          <c:showVal val="1"/>
          <c:showCatName val="0"/>
          <c:showSerName val="0"/>
          <c:showPercent val="0"/>
          <c:showBubbleSize val="0"/>
        </c:dLbl>
      </c:pivotFmt>
      <c:pivotFmt>
        <c:idx val="6"/>
        <c:marker>
          <c:symbol val="none"/>
        </c:marker>
        <c:dLbl>
          <c:idx val="0"/>
          <c:spPr/>
          <c:txPr>
            <a:bodyPr/>
            <a:lstStyle/>
            <a:p>
              <a:pPr>
                <a:defRPr/>
              </a:pPr>
              <a:endParaRPr lang="es-ES"/>
            </a:p>
          </c:txPr>
          <c:showLegendKey val="0"/>
          <c:showVal val="1"/>
          <c:showCatName val="0"/>
          <c:showSerName val="0"/>
          <c:showPercent val="0"/>
          <c:showBubbleSize val="0"/>
        </c:dLbl>
      </c:pivotFmt>
      <c:pivotFmt>
        <c:idx val="7"/>
        <c:marker>
          <c:symbol val="none"/>
        </c:marker>
        <c:dLbl>
          <c:idx val="0"/>
          <c:spPr/>
          <c:txPr>
            <a:bodyPr/>
            <a:lstStyle/>
            <a:p>
              <a:pPr>
                <a:defRPr/>
              </a:pPr>
              <a:endParaRPr lang="es-ES"/>
            </a:p>
          </c:txPr>
          <c:showLegendKey val="0"/>
          <c:showVal val="1"/>
          <c:showCatName val="0"/>
          <c:showSerName val="0"/>
          <c:showPercent val="0"/>
          <c:showBubbleSize val="0"/>
        </c:dLbl>
      </c:pivotFmt>
      <c:pivotFmt>
        <c:idx val="8"/>
        <c:marker>
          <c:symbol val="none"/>
        </c:marker>
        <c:dLbl>
          <c:idx val="0"/>
          <c:spPr/>
          <c:txPr>
            <a:bodyPr/>
            <a:lstStyle/>
            <a:p>
              <a:pPr>
                <a:defRPr/>
              </a:pPr>
              <a:endParaRPr lang="es-ES"/>
            </a:p>
          </c:txPr>
          <c:showLegendKey val="0"/>
          <c:showVal val="1"/>
          <c:showCatName val="0"/>
          <c:showSerName val="0"/>
          <c:showPercent val="0"/>
          <c:showBubbleSize val="0"/>
        </c:dLbl>
      </c:pivotFmt>
      <c:pivotFmt>
        <c:idx val="9"/>
        <c:marker>
          <c:symbol val="none"/>
        </c:marker>
        <c:dLbl>
          <c:idx val="0"/>
          <c:spPr/>
          <c:txPr>
            <a:bodyPr/>
            <a:lstStyle/>
            <a:p>
              <a:pPr>
                <a:defRPr/>
              </a:pPr>
              <a:endParaRPr lang="es-ES"/>
            </a:p>
          </c:txPr>
          <c:showLegendKey val="0"/>
          <c:showVal val="1"/>
          <c:showCatName val="0"/>
          <c:showSerName val="0"/>
          <c:showPercent val="0"/>
          <c:showBubbleSize val="0"/>
        </c:dLbl>
      </c:pivotFmt>
      <c:pivotFmt>
        <c:idx val="10"/>
        <c:marker>
          <c:symbol val="none"/>
        </c:marker>
        <c:dLbl>
          <c:idx val="0"/>
          <c:spPr/>
          <c:txPr>
            <a:bodyPr/>
            <a:lstStyle/>
            <a:p>
              <a:pPr>
                <a:defRPr/>
              </a:pPr>
              <a:endParaRPr lang="es-ES"/>
            </a:p>
          </c:txPr>
          <c:showLegendKey val="0"/>
          <c:showVal val="1"/>
          <c:showCatName val="0"/>
          <c:showSerName val="0"/>
          <c:showPercent val="0"/>
          <c:showBubbleSize val="0"/>
        </c:dLbl>
      </c:pivotFmt>
      <c:pivotFmt>
        <c:idx val="11"/>
        <c:marker>
          <c:symbol val="none"/>
        </c:marker>
        <c:dLbl>
          <c:idx val="0"/>
          <c:spPr/>
          <c:txPr>
            <a:bodyPr/>
            <a:lstStyle/>
            <a:p>
              <a:pPr>
                <a:defRPr/>
              </a:pPr>
              <a:endParaRPr lang="es-ES"/>
            </a:p>
          </c:txPr>
          <c:showLegendKey val="0"/>
          <c:showVal val="1"/>
          <c:showCatName val="0"/>
          <c:showSerName val="0"/>
          <c:showPercent val="0"/>
          <c:showBubbleSize val="0"/>
        </c:dLbl>
      </c:pivotFmt>
      <c:pivotFmt>
        <c:idx val="12"/>
        <c:marker>
          <c:symbol val="none"/>
        </c:marker>
        <c:dLbl>
          <c:idx val="0"/>
          <c:spPr/>
          <c:txPr>
            <a:bodyPr/>
            <a:lstStyle/>
            <a:p>
              <a:pPr>
                <a:defRPr/>
              </a:pPr>
              <a:endParaRPr lang="es-ES"/>
            </a:p>
          </c:txPr>
          <c:showLegendKey val="0"/>
          <c:showVal val="1"/>
          <c:showCatName val="0"/>
          <c:showSerName val="0"/>
          <c:showPercent val="0"/>
          <c:showBubbleSize val="0"/>
        </c:dLbl>
      </c:pivotFmt>
      <c:pivotFmt>
        <c:idx val="13"/>
        <c:marker>
          <c:symbol val="none"/>
        </c:marker>
        <c:dLbl>
          <c:idx val="0"/>
          <c:spPr/>
          <c:txPr>
            <a:bodyPr/>
            <a:lstStyle/>
            <a:p>
              <a:pPr>
                <a:defRPr/>
              </a:pPr>
              <a:endParaRPr lang="es-ES"/>
            </a:p>
          </c:txPr>
          <c:showLegendKey val="0"/>
          <c:showVal val="1"/>
          <c:showCatName val="0"/>
          <c:showSerName val="0"/>
          <c:showPercent val="0"/>
          <c:showBubbleSize val="0"/>
        </c:dLbl>
      </c:pivotFmt>
      <c:pivotFmt>
        <c:idx val="14"/>
        <c:marker>
          <c:symbol val="none"/>
        </c:marker>
        <c:dLbl>
          <c:idx val="0"/>
          <c:spPr/>
          <c:txPr>
            <a:bodyPr/>
            <a:lstStyle/>
            <a:p>
              <a:pPr>
                <a:defRPr/>
              </a:pPr>
              <a:endParaRPr lang="es-ES"/>
            </a:p>
          </c:txPr>
          <c:showLegendKey val="0"/>
          <c:showVal val="1"/>
          <c:showCatName val="0"/>
          <c:showSerName val="0"/>
          <c:showPercent val="0"/>
          <c:showBubbleSize val="0"/>
        </c:dLbl>
      </c:pivotFmt>
      <c:pivotFmt>
        <c:idx val="15"/>
        <c:marker>
          <c:symbol val="none"/>
        </c:marker>
        <c:dLbl>
          <c:idx val="0"/>
          <c:spPr/>
          <c:txPr>
            <a:bodyPr/>
            <a:lstStyle/>
            <a:p>
              <a:pPr>
                <a:defRPr/>
              </a:pPr>
              <a:endParaRPr lang="es-ES"/>
            </a:p>
          </c:txPr>
          <c:showLegendKey val="0"/>
          <c:showVal val="1"/>
          <c:showCatName val="0"/>
          <c:showSerName val="0"/>
          <c:showPercent val="0"/>
          <c:showBubbleSize val="0"/>
        </c:dLbl>
      </c:pivotFmt>
      <c:pivotFmt>
        <c:idx val="16"/>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pie3DChart>
        <c:varyColors val="1"/>
        <c:ser>
          <c:idx val="0"/>
          <c:order val="0"/>
          <c:tx>
            <c:strRef>
              <c:f>'Gráfico sectores por tamaño'!$B$28</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tamaño'!$A$29:$A$36</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tamaño'!$B$29:$B$36</c:f>
              <c:numCache>
                <c:formatCode>General</c:formatCode>
                <c:ptCount val="7"/>
                <c:pt idx="0">
                  <c:v>5</c:v>
                </c:pt>
                <c:pt idx="1">
                  <c:v>21</c:v>
                </c:pt>
                <c:pt idx="2">
                  <c:v>6</c:v>
                </c:pt>
                <c:pt idx="3">
                  <c:v>5</c:v>
                </c:pt>
                <c:pt idx="4">
                  <c:v>0</c:v>
                </c:pt>
                <c:pt idx="5">
                  <c:v>1</c:v>
                </c:pt>
                <c:pt idx="6">
                  <c:v>0</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poblacion.xlsx]nacimientos grupo!Tabla dinámica10</c:name>
    <c:fmtId val="-1"/>
  </c:pivotSource>
  <c:chart>
    <c:title>
      <c:tx>
        <c:rich>
          <a:bodyPr/>
          <a:lstStyle/>
          <a:p>
            <a:pPr>
              <a:defRPr sz="1400"/>
            </a:pPr>
            <a:r>
              <a:rPr lang="es-ES" sz="1400"/>
              <a:t>Histórico de</a:t>
            </a:r>
            <a:r>
              <a:rPr lang="es-ES" sz="1400" baseline="0"/>
              <a:t> nacimientos (BAJO ARAGÓN MATARRAÑA)</a:t>
            </a:r>
            <a:endParaRPr lang="es-ES" sz="1400"/>
          </a:p>
        </c:rich>
      </c:tx>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7.9929037562684727E-2"/>
          <c:y val="0.12899818983835967"/>
          <c:w val="0.90134909123201701"/>
          <c:h val="0.7126093195888682"/>
        </c:manualLayout>
      </c:layout>
      <c:bar3DChart>
        <c:barDir val="col"/>
        <c:grouping val="clustered"/>
        <c:varyColors val="0"/>
        <c:ser>
          <c:idx val="0"/>
          <c:order val="0"/>
          <c:tx>
            <c:strRef>
              <c:f>'nacimientos grupo'!$B$5:$B$6</c:f>
              <c:strCache>
                <c:ptCount val="1"/>
                <c:pt idx="0">
                  <c:v>Año 2012</c:v>
                </c:pt>
              </c:strCache>
            </c:strRef>
          </c:tx>
          <c:invertIfNegative val="0"/>
          <c:cat>
            <c:strRef>
              <c:f>'nacimientos grupo'!$A$7:$A$8</c:f>
              <c:strCache>
                <c:ptCount val="1"/>
                <c:pt idx="0">
                  <c:v>BAJO ARAGON MATARRAÑ</c:v>
                </c:pt>
              </c:strCache>
            </c:strRef>
          </c:cat>
          <c:val>
            <c:numRef>
              <c:f>'nacimientos grupo'!$B$7:$B$8</c:f>
              <c:numCache>
                <c:formatCode>General</c:formatCode>
                <c:ptCount val="1"/>
                <c:pt idx="0">
                  <c:v>346</c:v>
                </c:pt>
              </c:numCache>
            </c:numRef>
          </c:val>
        </c:ser>
        <c:ser>
          <c:idx val="1"/>
          <c:order val="1"/>
          <c:tx>
            <c:strRef>
              <c:f>'nacimientos grupo'!$C$5:$C$6</c:f>
              <c:strCache>
                <c:ptCount val="1"/>
                <c:pt idx="0">
                  <c:v>Año 2011</c:v>
                </c:pt>
              </c:strCache>
            </c:strRef>
          </c:tx>
          <c:invertIfNegative val="0"/>
          <c:cat>
            <c:strRef>
              <c:f>'nacimientos grupo'!$A$7:$A$8</c:f>
              <c:strCache>
                <c:ptCount val="1"/>
                <c:pt idx="0">
                  <c:v>BAJO ARAGON MATARRAÑ</c:v>
                </c:pt>
              </c:strCache>
            </c:strRef>
          </c:cat>
          <c:val>
            <c:numRef>
              <c:f>'nacimientos grupo'!$C$7:$C$8</c:f>
              <c:numCache>
                <c:formatCode>General</c:formatCode>
                <c:ptCount val="1"/>
                <c:pt idx="0">
                  <c:v>362</c:v>
                </c:pt>
              </c:numCache>
            </c:numRef>
          </c:val>
        </c:ser>
        <c:ser>
          <c:idx val="2"/>
          <c:order val="2"/>
          <c:tx>
            <c:strRef>
              <c:f>'nacimientos grupo'!$D$5:$D$6</c:f>
              <c:strCache>
                <c:ptCount val="1"/>
                <c:pt idx="0">
                  <c:v>Año 2010</c:v>
                </c:pt>
              </c:strCache>
            </c:strRef>
          </c:tx>
          <c:invertIfNegative val="0"/>
          <c:cat>
            <c:strRef>
              <c:f>'nacimientos grupo'!$A$7:$A$8</c:f>
              <c:strCache>
                <c:ptCount val="1"/>
                <c:pt idx="0">
                  <c:v>BAJO ARAGON MATARRAÑ</c:v>
                </c:pt>
              </c:strCache>
            </c:strRef>
          </c:cat>
          <c:val>
            <c:numRef>
              <c:f>'nacimientos grupo'!$D$7:$D$8</c:f>
              <c:numCache>
                <c:formatCode>General</c:formatCode>
                <c:ptCount val="1"/>
                <c:pt idx="0">
                  <c:v>375</c:v>
                </c:pt>
              </c:numCache>
            </c:numRef>
          </c:val>
        </c:ser>
        <c:ser>
          <c:idx val="3"/>
          <c:order val="3"/>
          <c:tx>
            <c:strRef>
              <c:f>'nacimientos grupo'!$E$5:$E$6</c:f>
              <c:strCache>
                <c:ptCount val="1"/>
                <c:pt idx="0">
                  <c:v>Año 2009</c:v>
                </c:pt>
              </c:strCache>
            </c:strRef>
          </c:tx>
          <c:invertIfNegative val="0"/>
          <c:cat>
            <c:strRef>
              <c:f>'nacimientos grupo'!$A$7:$A$8</c:f>
              <c:strCache>
                <c:ptCount val="1"/>
                <c:pt idx="0">
                  <c:v>BAJO ARAGON MATARRAÑ</c:v>
                </c:pt>
              </c:strCache>
            </c:strRef>
          </c:cat>
          <c:val>
            <c:numRef>
              <c:f>'nacimientos grupo'!$E$7:$E$8</c:f>
              <c:numCache>
                <c:formatCode>General</c:formatCode>
                <c:ptCount val="1"/>
                <c:pt idx="0">
                  <c:v>361</c:v>
                </c:pt>
              </c:numCache>
            </c:numRef>
          </c:val>
        </c:ser>
        <c:ser>
          <c:idx val="4"/>
          <c:order val="4"/>
          <c:tx>
            <c:strRef>
              <c:f>'nacimientos grupo'!$F$5:$F$6</c:f>
              <c:strCache>
                <c:ptCount val="1"/>
                <c:pt idx="0">
                  <c:v>Año 2008</c:v>
                </c:pt>
              </c:strCache>
            </c:strRef>
          </c:tx>
          <c:invertIfNegative val="0"/>
          <c:cat>
            <c:strRef>
              <c:f>'nacimientos grupo'!$A$7:$A$8</c:f>
              <c:strCache>
                <c:ptCount val="1"/>
                <c:pt idx="0">
                  <c:v>BAJO ARAGON MATARRAÑ</c:v>
                </c:pt>
              </c:strCache>
            </c:strRef>
          </c:cat>
          <c:val>
            <c:numRef>
              <c:f>'nacimientos grupo'!$F$7:$F$8</c:f>
              <c:numCache>
                <c:formatCode>General</c:formatCode>
                <c:ptCount val="1"/>
                <c:pt idx="0">
                  <c:v>374</c:v>
                </c:pt>
              </c:numCache>
            </c:numRef>
          </c:val>
        </c:ser>
        <c:ser>
          <c:idx val="5"/>
          <c:order val="5"/>
          <c:tx>
            <c:strRef>
              <c:f>'nacimientos grupo'!$G$5:$G$6</c:f>
              <c:strCache>
                <c:ptCount val="1"/>
                <c:pt idx="0">
                  <c:v>Año 2007</c:v>
                </c:pt>
              </c:strCache>
            </c:strRef>
          </c:tx>
          <c:invertIfNegative val="0"/>
          <c:cat>
            <c:strRef>
              <c:f>'nacimientos grupo'!$A$7:$A$8</c:f>
              <c:strCache>
                <c:ptCount val="1"/>
                <c:pt idx="0">
                  <c:v>BAJO ARAGON MATARRAÑ</c:v>
                </c:pt>
              </c:strCache>
            </c:strRef>
          </c:cat>
          <c:val>
            <c:numRef>
              <c:f>'nacimientos grupo'!$G$7:$G$8</c:f>
              <c:numCache>
                <c:formatCode>General</c:formatCode>
                <c:ptCount val="1"/>
                <c:pt idx="0">
                  <c:v>395</c:v>
                </c:pt>
              </c:numCache>
            </c:numRef>
          </c:val>
        </c:ser>
        <c:dLbls>
          <c:showLegendKey val="0"/>
          <c:showVal val="0"/>
          <c:showCatName val="0"/>
          <c:showSerName val="0"/>
          <c:showPercent val="0"/>
          <c:showBubbleSize val="0"/>
        </c:dLbls>
        <c:gapWidth val="150"/>
        <c:shape val="cylinder"/>
        <c:axId val="114004480"/>
        <c:axId val="112167744"/>
        <c:axId val="0"/>
      </c:bar3DChart>
      <c:catAx>
        <c:axId val="114004480"/>
        <c:scaling>
          <c:orientation val="minMax"/>
        </c:scaling>
        <c:delete val="0"/>
        <c:axPos val="b"/>
        <c:majorTickMark val="out"/>
        <c:minorTickMark val="none"/>
        <c:tickLblPos val="nextTo"/>
        <c:crossAx val="112167744"/>
        <c:crosses val="autoZero"/>
        <c:auto val="1"/>
        <c:lblAlgn val="ctr"/>
        <c:lblOffset val="100"/>
        <c:noMultiLvlLbl val="0"/>
      </c:catAx>
      <c:valAx>
        <c:axId val="112167744"/>
        <c:scaling>
          <c:orientation val="minMax"/>
        </c:scaling>
        <c:delete val="0"/>
        <c:axPos val="l"/>
        <c:majorGridlines/>
        <c:numFmt formatCode="General" sourceLinked="1"/>
        <c:majorTickMark val="out"/>
        <c:minorTickMark val="none"/>
        <c:tickLblPos val="nextTo"/>
        <c:crossAx val="114004480"/>
        <c:crosses val="autoZero"/>
        <c:crossBetween val="between"/>
      </c:valAx>
    </c:plotArea>
    <c:legend>
      <c:legendPos val="b"/>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poblacion.xlsx]defunciones grupo!Tabla dinámica11</c:name>
    <c:fmtId val="-1"/>
  </c:pivotSource>
  <c:chart>
    <c:title>
      <c:tx>
        <c:rich>
          <a:bodyPr/>
          <a:lstStyle/>
          <a:p>
            <a:pPr>
              <a:defRPr sz="1400"/>
            </a:pPr>
            <a:r>
              <a:rPr lang="es-ES" sz="1400"/>
              <a:t>Histórico</a:t>
            </a:r>
            <a:r>
              <a:rPr lang="es-ES" sz="1400" baseline="0"/>
              <a:t> de defunciones (BAJO ARAGÓN MATARRAÑA)</a:t>
            </a:r>
            <a:endParaRPr lang="es-ES" sz="1400"/>
          </a:p>
        </c:rich>
      </c:tx>
      <c:layout>
        <c:manualLayout>
          <c:xMode val="edge"/>
          <c:yMode val="edge"/>
          <c:x val="0.11659426617725416"/>
          <c:y val="0"/>
        </c:manualLayout>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7.9929037562684727E-2"/>
          <c:y val="0.12178450018470939"/>
          <c:w val="0.90134909123201701"/>
          <c:h val="0.68229384697166018"/>
        </c:manualLayout>
      </c:layout>
      <c:bar3DChart>
        <c:barDir val="col"/>
        <c:grouping val="clustered"/>
        <c:varyColors val="0"/>
        <c:ser>
          <c:idx val="0"/>
          <c:order val="0"/>
          <c:tx>
            <c:strRef>
              <c:f>'defunciones grupo'!$B$5:$B$6</c:f>
              <c:strCache>
                <c:ptCount val="1"/>
                <c:pt idx="0">
                  <c:v>Año 2012</c:v>
                </c:pt>
              </c:strCache>
            </c:strRef>
          </c:tx>
          <c:invertIfNegative val="0"/>
          <c:cat>
            <c:strRef>
              <c:f>'defunciones grupo'!$A$7:$A$8</c:f>
              <c:strCache>
                <c:ptCount val="1"/>
                <c:pt idx="0">
                  <c:v>BAJO ARAGON MATARRAÑ</c:v>
                </c:pt>
              </c:strCache>
            </c:strRef>
          </c:cat>
          <c:val>
            <c:numRef>
              <c:f>'defunciones grupo'!$B$7:$B$8</c:f>
              <c:numCache>
                <c:formatCode>General</c:formatCode>
                <c:ptCount val="1"/>
                <c:pt idx="0">
                  <c:v>478</c:v>
                </c:pt>
              </c:numCache>
            </c:numRef>
          </c:val>
        </c:ser>
        <c:ser>
          <c:idx val="1"/>
          <c:order val="1"/>
          <c:tx>
            <c:strRef>
              <c:f>'defunciones grupo'!$C$5:$C$6</c:f>
              <c:strCache>
                <c:ptCount val="1"/>
                <c:pt idx="0">
                  <c:v>Año 2011</c:v>
                </c:pt>
              </c:strCache>
            </c:strRef>
          </c:tx>
          <c:invertIfNegative val="0"/>
          <c:cat>
            <c:strRef>
              <c:f>'defunciones grupo'!$A$7:$A$8</c:f>
              <c:strCache>
                <c:ptCount val="1"/>
                <c:pt idx="0">
                  <c:v>BAJO ARAGON MATARRAÑ</c:v>
                </c:pt>
              </c:strCache>
            </c:strRef>
          </c:cat>
          <c:val>
            <c:numRef>
              <c:f>'defunciones grupo'!$C$7:$C$8</c:f>
              <c:numCache>
                <c:formatCode>General</c:formatCode>
                <c:ptCount val="1"/>
                <c:pt idx="0">
                  <c:v>504</c:v>
                </c:pt>
              </c:numCache>
            </c:numRef>
          </c:val>
        </c:ser>
        <c:ser>
          <c:idx val="2"/>
          <c:order val="2"/>
          <c:tx>
            <c:strRef>
              <c:f>'defunciones grupo'!$D$5:$D$6</c:f>
              <c:strCache>
                <c:ptCount val="1"/>
                <c:pt idx="0">
                  <c:v>Año 2010</c:v>
                </c:pt>
              </c:strCache>
            </c:strRef>
          </c:tx>
          <c:invertIfNegative val="0"/>
          <c:cat>
            <c:strRef>
              <c:f>'defunciones grupo'!$A$7:$A$8</c:f>
              <c:strCache>
                <c:ptCount val="1"/>
                <c:pt idx="0">
                  <c:v>BAJO ARAGON MATARRAÑ</c:v>
                </c:pt>
              </c:strCache>
            </c:strRef>
          </c:cat>
          <c:val>
            <c:numRef>
              <c:f>'defunciones grupo'!$D$7:$D$8</c:f>
              <c:numCache>
                <c:formatCode>General</c:formatCode>
                <c:ptCount val="1"/>
                <c:pt idx="0">
                  <c:v>504</c:v>
                </c:pt>
              </c:numCache>
            </c:numRef>
          </c:val>
        </c:ser>
        <c:ser>
          <c:idx val="3"/>
          <c:order val="3"/>
          <c:tx>
            <c:strRef>
              <c:f>'defunciones grupo'!$E$5:$E$6</c:f>
              <c:strCache>
                <c:ptCount val="1"/>
                <c:pt idx="0">
                  <c:v>Año 2009</c:v>
                </c:pt>
              </c:strCache>
            </c:strRef>
          </c:tx>
          <c:invertIfNegative val="0"/>
          <c:cat>
            <c:strRef>
              <c:f>'defunciones grupo'!$A$7:$A$8</c:f>
              <c:strCache>
                <c:ptCount val="1"/>
                <c:pt idx="0">
                  <c:v>BAJO ARAGON MATARRAÑ</c:v>
                </c:pt>
              </c:strCache>
            </c:strRef>
          </c:cat>
          <c:val>
            <c:numRef>
              <c:f>'defunciones grupo'!$E$7:$E$8</c:f>
              <c:numCache>
                <c:formatCode>General</c:formatCode>
                <c:ptCount val="1"/>
                <c:pt idx="0">
                  <c:v>475</c:v>
                </c:pt>
              </c:numCache>
            </c:numRef>
          </c:val>
        </c:ser>
        <c:ser>
          <c:idx val="4"/>
          <c:order val="4"/>
          <c:tx>
            <c:strRef>
              <c:f>'defunciones grupo'!$F$5:$F$6</c:f>
              <c:strCache>
                <c:ptCount val="1"/>
                <c:pt idx="0">
                  <c:v>Año 2008</c:v>
                </c:pt>
              </c:strCache>
            </c:strRef>
          </c:tx>
          <c:invertIfNegative val="0"/>
          <c:cat>
            <c:strRef>
              <c:f>'defunciones grupo'!$A$7:$A$8</c:f>
              <c:strCache>
                <c:ptCount val="1"/>
                <c:pt idx="0">
                  <c:v>BAJO ARAGON MATARRAÑ</c:v>
                </c:pt>
              </c:strCache>
            </c:strRef>
          </c:cat>
          <c:val>
            <c:numRef>
              <c:f>'defunciones grupo'!$F$7:$F$8</c:f>
              <c:numCache>
                <c:formatCode>General</c:formatCode>
                <c:ptCount val="1"/>
                <c:pt idx="0">
                  <c:v>415</c:v>
                </c:pt>
              </c:numCache>
            </c:numRef>
          </c:val>
        </c:ser>
        <c:ser>
          <c:idx val="5"/>
          <c:order val="5"/>
          <c:tx>
            <c:strRef>
              <c:f>'defunciones grupo'!$G$5:$G$6</c:f>
              <c:strCache>
                <c:ptCount val="1"/>
                <c:pt idx="0">
                  <c:v>Año 2007</c:v>
                </c:pt>
              </c:strCache>
            </c:strRef>
          </c:tx>
          <c:invertIfNegative val="0"/>
          <c:cat>
            <c:strRef>
              <c:f>'defunciones grupo'!$A$7:$A$8</c:f>
              <c:strCache>
                <c:ptCount val="1"/>
                <c:pt idx="0">
                  <c:v>BAJO ARAGON MATARRAÑ</c:v>
                </c:pt>
              </c:strCache>
            </c:strRef>
          </c:cat>
          <c:val>
            <c:numRef>
              <c:f>'defunciones grupo'!$G$7:$G$8</c:f>
              <c:numCache>
                <c:formatCode>General</c:formatCode>
                <c:ptCount val="1"/>
                <c:pt idx="0">
                  <c:v>437</c:v>
                </c:pt>
              </c:numCache>
            </c:numRef>
          </c:val>
        </c:ser>
        <c:ser>
          <c:idx val="6"/>
          <c:order val="6"/>
          <c:tx>
            <c:strRef>
              <c:f>'defunciones grupo'!$H$5:$H$6</c:f>
              <c:strCache>
                <c:ptCount val="1"/>
                <c:pt idx="0">
                  <c:v>Año 2006</c:v>
                </c:pt>
              </c:strCache>
            </c:strRef>
          </c:tx>
          <c:invertIfNegative val="0"/>
          <c:cat>
            <c:strRef>
              <c:f>'defunciones grupo'!$A$7:$A$8</c:f>
              <c:strCache>
                <c:ptCount val="1"/>
                <c:pt idx="0">
                  <c:v>BAJO ARAGON MATARRAÑ</c:v>
                </c:pt>
              </c:strCache>
            </c:strRef>
          </c:cat>
          <c:val>
            <c:numRef>
              <c:f>'defunciones grupo'!$H$7:$H$8</c:f>
              <c:numCache>
                <c:formatCode>General</c:formatCode>
                <c:ptCount val="1"/>
                <c:pt idx="0">
                  <c:v>477</c:v>
                </c:pt>
              </c:numCache>
            </c:numRef>
          </c:val>
        </c:ser>
        <c:dLbls>
          <c:showLegendKey val="0"/>
          <c:showVal val="0"/>
          <c:showCatName val="0"/>
          <c:showSerName val="0"/>
          <c:showPercent val="0"/>
          <c:showBubbleSize val="0"/>
        </c:dLbls>
        <c:gapWidth val="150"/>
        <c:shape val="cylinder"/>
        <c:axId val="116939264"/>
        <c:axId val="112169472"/>
        <c:axId val="0"/>
      </c:bar3DChart>
      <c:catAx>
        <c:axId val="116939264"/>
        <c:scaling>
          <c:orientation val="minMax"/>
        </c:scaling>
        <c:delete val="0"/>
        <c:axPos val="b"/>
        <c:majorTickMark val="out"/>
        <c:minorTickMark val="none"/>
        <c:tickLblPos val="nextTo"/>
        <c:crossAx val="112169472"/>
        <c:crosses val="autoZero"/>
        <c:auto val="1"/>
        <c:lblAlgn val="ctr"/>
        <c:lblOffset val="100"/>
        <c:noMultiLvlLbl val="0"/>
      </c:catAx>
      <c:valAx>
        <c:axId val="112169472"/>
        <c:scaling>
          <c:orientation val="minMax"/>
        </c:scaling>
        <c:delete val="0"/>
        <c:axPos val="l"/>
        <c:majorGridlines/>
        <c:numFmt formatCode="General" sourceLinked="1"/>
        <c:majorTickMark val="out"/>
        <c:minorTickMark val="none"/>
        <c:tickLblPos val="nextTo"/>
        <c:crossAx val="116939264"/>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poblacion.xlsx]variación residencia grupo!Tabla dinámica12</c:name>
    <c:fmtId val="-1"/>
  </c:pivotSource>
  <c:chart>
    <c:title>
      <c:tx>
        <c:rich>
          <a:bodyPr/>
          <a:lstStyle/>
          <a:p>
            <a:pPr>
              <a:defRPr sz="1400"/>
            </a:pPr>
            <a:r>
              <a:rPr lang="es-ES" sz="1400"/>
              <a:t>Saldo por</a:t>
            </a:r>
            <a:r>
              <a:rPr lang="es-ES" sz="1400" baseline="0"/>
              <a:t> variación residencia</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5.717701676443631E-2"/>
          <c:y val="0.14786580347339423"/>
          <c:w val="0.8901349091232017"/>
          <c:h val="0.71212540541322755"/>
        </c:manualLayout>
      </c:layout>
      <c:bar3DChart>
        <c:barDir val="col"/>
        <c:grouping val="clustered"/>
        <c:varyColors val="0"/>
        <c:ser>
          <c:idx val="0"/>
          <c:order val="0"/>
          <c:tx>
            <c:strRef>
              <c:f>'variación residencia grupo'!$B$5:$B$6</c:f>
              <c:strCache>
                <c:ptCount val="1"/>
                <c:pt idx="0">
                  <c:v>Año 2013</c:v>
                </c:pt>
              </c:strCache>
            </c:strRef>
          </c:tx>
          <c:invertIfNegative val="0"/>
          <c:cat>
            <c:strRef>
              <c:f>'variación residencia grupo'!$A$7:$A$8</c:f>
              <c:strCache>
                <c:ptCount val="1"/>
                <c:pt idx="0">
                  <c:v>BAJO ARAGON MATARRAÑ</c:v>
                </c:pt>
              </c:strCache>
            </c:strRef>
          </c:cat>
          <c:val>
            <c:numRef>
              <c:f>'variación residencia grupo'!$B$7:$B$8</c:f>
              <c:numCache>
                <c:formatCode>General</c:formatCode>
                <c:ptCount val="1"/>
                <c:pt idx="0">
                  <c:v>-187</c:v>
                </c:pt>
              </c:numCache>
            </c:numRef>
          </c:val>
        </c:ser>
        <c:ser>
          <c:idx val="1"/>
          <c:order val="1"/>
          <c:tx>
            <c:strRef>
              <c:f>'variación residencia grupo'!$C$5:$C$6</c:f>
              <c:strCache>
                <c:ptCount val="1"/>
                <c:pt idx="0">
                  <c:v>Año 2012</c:v>
                </c:pt>
              </c:strCache>
            </c:strRef>
          </c:tx>
          <c:invertIfNegative val="0"/>
          <c:cat>
            <c:strRef>
              <c:f>'variación residencia grupo'!$A$7:$A$8</c:f>
              <c:strCache>
                <c:ptCount val="1"/>
                <c:pt idx="0">
                  <c:v>BAJO ARAGON MATARRAÑ</c:v>
                </c:pt>
              </c:strCache>
            </c:strRef>
          </c:cat>
          <c:val>
            <c:numRef>
              <c:f>'variación residencia grupo'!$C$7:$C$8</c:f>
              <c:numCache>
                <c:formatCode>General</c:formatCode>
                <c:ptCount val="1"/>
                <c:pt idx="0">
                  <c:v>-157</c:v>
                </c:pt>
              </c:numCache>
            </c:numRef>
          </c:val>
        </c:ser>
        <c:ser>
          <c:idx val="2"/>
          <c:order val="2"/>
          <c:tx>
            <c:strRef>
              <c:f>'variación residencia grupo'!$D$5:$D$6</c:f>
              <c:strCache>
                <c:ptCount val="1"/>
                <c:pt idx="0">
                  <c:v>Año 2011</c:v>
                </c:pt>
              </c:strCache>
            </c:strRef>
          </c:tx>
          <c:invertIfNegative val="0"/>
          <c:cat>
            <c:strRef>
              <c:f>'variación residencia grupo'!$A$7:$A$8</c:f>
              <c:strCache>
                <c:ptCount val="1"/>
                <c:pt idx="0">
                  <c:v>BAJO ARAGON MATARRAÑ</c:v>
                </c:pt>
              </c:strCache>
            </c:strRef>
          </c:cat>
          <c:val>
            <c:numRef>
              <c:f>'variación residencia grupo'!$D$7:$D$8</c:f>
              <c:numCache>
                <c:formatCode>General</c:formatCode>
                <c:ptCount val="1"/>
                <c:pt idx="0">
                  <c:v>-216</c:v>
                </c:pt>
              </c:numCache>
            </c:numRef>
          </c:val>
        </c:ser>
        <c:ser>
          <c:idx val="3"/>
          <c:order val="3"/>
          <c:tx>
            <c:strRef>
              <c:f>'variación residencia grupo'!$E$5:$E$6</c:f>
              <c:strCache>
                <c:ptCount val="1"/>
                <c:pt idx="0">
                  <c:v>Año 2010</c:v>
                </c:pt>
              </c:strCache>
            </c:strRef>
          </c:tx>
          <c:invertIfNegative val="0"/>
          <c:cat>
            <c:strRef>
              <c:f>'variación residencia grupo'!$A$7:$A$8</c:f>
              <c:strCache>
                <c:ptCount val="1"/>
                <c:pt idx="0">
                  <c:v>BAJO ARAGON MATARRAÑ</c:v>
                </c:pt>
              </c:strCache>
            </c:strRef>
          </c:cat>
          <c:val>
            <c:numRef>
              <c:f>'variación residencia grupo'!$E$7:$E$8</c:f>
              <c:numCache>
                <c:formatCode>General</c:formatCode>
                <c:ptCount val="1"/>
                <c:pt idx="0">
                  <c:v>120</c:v>
                </c:pt>
              </c:numCache>
            </c:numRef>
          </c:val>
        </c:ser>
        <c:ser>
          <c:idx val="4"/>
          <c:order val="4"/>
          <c:tx>
            <c:strRef>
              <c:f>'variación residencia grupo'!$F$5:$F$6</c:f>
              <c:strCache>
                <c:ptCount val="1"/>
                <c:pt idx="0">
                  <c:v>Año 2009</c:v>
                </c:pt>
              </c:strCache>
            </c:strRef>
          </c:tx>
          <c:invertIfNegative val="0"/>
          <c:cat>
            <c:strRef>
              <c:f>'variación residencia grupo'!$A$7:$A$8</c:f>
              <c:strCache>
                <c:ptCount val="1"/>
                <c:pt idx="0">
                  <c:v>BAJO ARAGON MATARRAÑ</c:v>
                </c:pt>
              </c:strCache>
            </c:strRef>
          </c:cat>
          <c:val>
            <c:numRef>
              <c:f>'variación residencia grupo'!$F$7:$F$8</c:f>
              <c:numCache>
                <c:formatCode>General</c:formatCode>
                <c:ptCount val="1"/>
                <c:pt idx="0">
                  <c:v>84</c:v>
                </c:pt>
              </c:numCache>
            </c:numRef>
          </c:val>
        </c:ser>
        <c:ser>
          <c:idx val="5"/>
          <c:order val="5"/>
          <c:tx>
            <c:strRef>
              <c:f>'variación residencia grupo'!$G$5:$G$6</c:f>
              <c:strCache>
                <c:ptCount val="1"/>
                <c:pt idx="0">
                  <c:v>Año 2008</c:v>
                </c:pt>
              </c:strCache>
            </c:strRef>
          </c:tx>
          <c:invertIfNegative val="0"/>
          <c:cat>
            <c:strRef>
              <c:f>'variación residencia grupo'!$A$7:$A$8</c:f>
              <c:strCache>
                <c:ptCount val="1"/>
                <c:pt idx="0">
                  <c:v>BAJO ARAGON MATARRAÑ</c:v>
                </c:pt>
              </c:strCache>
            </c:strRef>
          </c:cat>
          <c:val>
            <c:numRef>
              <c:f>'variación residencia grupo'!$G$7:$G$8</c:f>
              <c:numCache>
                <c:formatCode>General</c:formatCode>
                <c:ptCount val="1"/>
                <c:pt idx="0">
                  <c:v>367</c:v>
                </c:pt>
              </c:numCache>
            </c:numRef>
          </c:val>
        </c:ser>
        <c:ser>
          <c:idx val="6"/>
          <c:order val="6"/>
          <c:tx>
            <c:strRef>
              <c:f>'variación residencia grupo'!$H$5:$H$6</c:f>
              <c:strCache>
                <c:ptCount val="1"/>
                <c:pt idx="0">
                  <c:v>Año 2007</c:v>
                </c:pt>
              </c:strCache>
            </c:strRef>
          </c:tx>
          <c:invertIfNegative val="0"/>
          <c:cat>
            <c:strRef>
              <c:f>'variación residencia grupo'!$A$7:$A$8</c:f>
              <c:strCache>
                <c:ptCount val="1"/>
                <c:pt idx="0">
                  <c:v>BAJO ARAGON MATARRAÑ</c:v>
                </c:pt>
              </c:strCache>
            </c:strRef>
          </c:cat>
          <c:val>
            <c:numRef>
              <c:f>'variación residencia grupo'!$H$7:$H$8</c:f>
              <c:numCache>
                <c:formatCode>General</c:formatCode>
                <c:ptCount val="1"/>
                <c:pt idx="0">
                  <c:v>807</c:v>
                </c:pt>
              </c:numCache>
            </c:numRef>
          </c:val>
        </c:ser>
        <c:dLbls>
          <c:showLegendKey val="0"/>
          <c:showVal val="0"/>
          <c:showCatName val="0"/>
          <c:showSerName val="0"/>
          <c:showPercent val="0"/>
          <c:showBubbleSize val="0"/>
        </c:dLbls>
        <c:gapWidth val="150"/>
        <c:shape val="cylinder"/>
        <c:axId val="116939776"/>
        <c:axId val="112171200"/>
        <c:axId val="0"/>
      </c:bar3DChart>
      <c:catAx>
        <c:axId val="116939776"/>
        <c:scaling>
          <c:orientation val="minMax"/>
        </c:scaling>
        <c:delete val="0"/>
        <c:axPos val="b"/>
        <c:majorTickMark val="out"/>
        <c:minorTickMark val="none"/>
        <c:tickLblPos val="low"/>
        <c:crossAx val="112171200"/>
        <c:crosses val="autoZero"/>
        <c:auto val="1"/>
        <c:lblAlgn val="ctr"/>
        <c:lblOffset val="100"/>
        <c:noMultiLvlLbl val="0"/>
      </c:catAx>
      <c:valAx>
        <c:axId val="112171200"/>
        <c:scaling>
          <c:orientation val="minMax"/>
        </c:scaling>
        <c:delete val="0"/>
        <c:axPos val="l"/>
        <c:majorGridlines/>
        <c:numFmt formatCode="General" sourceLinked="1"/>
        <c:majorTickMark val="out"/>
        <c:minorTickMark val="none"/>
        <c:tickLblPos val="nextTo"/>
        <c:crossAx val="116939776"/>
        <c:crosses val="autoZero"/>
        <c:crossBetween val="between"/>
      </c:valAx>
      <c:spPr>
        <a:solidFill>
          <a:schemeClr val="accent4">
            <a:lumMod val="20000"/>
            <a:lumOff val="80000"/>
          </a:schemeClr>
        </a:solidFill>
      </c:spPr>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porcentajes 2012!Tabla dinámica6</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4.6957882393878311E-2"/>
          <c:y val="3.2563475937780161E-2"/>
          <c:w val="0.61822897143819699"/>
          <c:h val="0.82332578764388353"/>
        </c:manualLayout>
      </c:layout>
      <c:bar3DChart>
        <c:barDir val="col"/>
        <c:grouping val="clustered"/>
        <c:varyColors val="0"/>
        <c:ser>
          <c:idx val="0"/>
          <c:order val="0"/>
          <c:tx>
            <c:strRef>
              <c:f>'Tabla porcentajes 2012'!$B$7:$B$8</c:f>
              <c:strCache>
                <c:ptCount val="1"/>
                <c:pt idx="0">
                  <c:v>Porcentaje Agricultura, ganadería, silvicultura y pesca</c:v>
                </c:pt>
              </c:strCache>
            </c:strRef>
          </c:tx>
          <c:invertIfNegative val="0"/>
          <c:cat>
            <c:strRef>
              <c:f>'Tabla porcentajes 2012'!$A$9:$A$10</c:f>
              <c:strCache>
                <c:ptCount val="1"/>
                <c:pt idx="0">
                  <c:v>BAJO ARAGON MATARRAÑ</c:v>
                </c:pt>
              </c:strCache>
            </c:strRef>
          </c:cat>
          <c:val>
            <c:numRef>
              <c:f>'Tabla porcentajes 2012'!$B$9:$B$10</c:f>
              <c:numCache>
                <c:formatCode>0.0000%</c:formatCode>
                <c:ptCount val="1"/>
                <c:pt idx="0">
                  <c:v>6.971957808078208E-2</c:v>
                </c:pt>
              </c:numCache>
            </c:numRef>
          </c:val>
        </c:ser>
        <c:ser>
          <c:idx val="1"/>
          <c:order val="1"/>
          <c:tx>
            <c:strRef>
              <c:f>'Tabla porcentajes 2012'!$C$7:$C$8</c:f>
              <c:strCache>
                <c:ptCount val="1"/>
                <c:pt idx="0">
                  <c:v>Porcentaje Industria</c:v>
                </c:pt>
              </c:strCache>
            </c:strRef>
          </c:tx>
          <c:invertIfNegative val="0"/>
          <c:cat>
            <c:strRef>
              <c:f>'Tabla porcentajes 2012'!$A$9:$A$10</c:f>
              <c:strCache>
                <c:ptCount val="1"/>
                <c:pt idx="0">
                  <c:v>BAJO ARAGON MATARRAÑ</c:v>
                </c:pt>
              </c:strCache>
            </c:strRef>
          </c:cat>
          <c:val>
            <c:numRef>
              <c:f>'Tabla porcentajes 2012'!$C$9:$C$10</c:f>
              <c:numCache>
                <c:formatCode>0.0000%</c:formatCode>
                <c:ptCount val="1"/>
                <c:pt idx="0">
                  <c:v>4.4842204427696659E-2</c:v>
                </c:pt>
              </c:numCache>
            </c:numRef>
          </c:val>
        </c:ser>
        <c:ser>
          <c:idx val="2"/>
          <c:order val="2"/>
          <c:tx>
            <c:strRef>
              <c:f>'Tabla porcentajes 2012'!$D$7:$D$8</c:f>
              <c:strCache>
                <c:ptCount val="1"/>
                <c:pt idx="0">
                  <c:v>Porcentaje Energía y agua</c:v>
                </c:pt>
              </c:strCache>
            </c:strRef>
          </c:tx>
          <c:invertIfNegative val="0"/>
          <c:cat>
            <c:strRef>
              <c:f>'Tabla porcentajes 2012'!$A$9:$A$10</c:f>
              <c:strCache>
                <c:ptCount val="1"/>
                <c:pt idx="0">
                  <c:v>BAJO ARAGON MATARRAÑ</c:v>
                </c:pt>
              </c:strCache>
            </c:strRef>
          </c:cat>
          <c:val>
            <c:numRef>
              <c:f>'Tabla porcentajes 2012'!$D$9:$D$10</c:f>
              <c:numCache>
                <c:formatCode>0.0000%</c:formatCode>
                <c:ptCount val="1"/>
                <c:pt idx="0">
                  <c:v>5.0283860502838611E-2</c:v>
                </c:pt>
              </c:numCache>
            </c:numRef>
          </c:val>
        </c:ser>
        <c:ser>
          <c:idx val="3"/>
          <c:order val="3"/>
          <c:tx>
            <c:strRef>
              <c:f>'Tabla porcentajes 2012'!$E$7:$E$8</c:f>
              <c:strCache>
                <c:ptCount val="1"/>
                <c:pt idx="0">
                  <c:v>Porcentaje Construcción</c:v>
                </c:pt>
              </c:strCache>
            </c:strRef>
          </c:tx>
          <c:invertIfNegative val="0"/>
          <c:cat>
            <c:strRef>
              <c:f>'Tabla porcentajes 2012'!$A$9:$A$10</c:f>
              <c:strCache>
                <c:ptCount val="1"/>
                <c:pt idx="0">
                  <c:v>BAJO ARAGON MATARRAÑ</c:v>
                </c:pt>
              </c:strCache>
            </c:strRef>
          </c:cat>
          <c:val>
            <c:numRef>
              <c:f>'Tabla porcentajes 2012'!$E$9:$E$10</c:f>
              <c:numCache>
                <c:formatCode>0.0000%</c:formatCode>
                <c:ptCount val="1"/>
                <c:pt idx="0">
                  <c:v>4.2924385714902626E-2</c:v>
                </c:pt>
              </c:numCache>
            </c:numRef>
          </c:val>
        </c:ser>
        <c:ser>
          <c:idx val="4"/>
          <c:order val="4"/>
          <c:tx>
            <c:strRef>
              <c:f>'Tabla porcentajes 2012'!$F$7:$F$8</c:f>
              <c:strCache>
                <c:ptCount val="1"/>
                <c:pt idx="0">
                  <c:v>Porcentaje Servicios</c:v>
                </c:pt>
              </c:strCache>
            </c:strRef>
          </c:tx>
          <c:invertIfNegative val="0"/>
          <c:cat>
            <c:strRef>
              <c:f>'Tabla porcentajes 2012'!$A$9:$A$10</c:f>
              <c:strCache>
                <c:ptCount val="1"/>
                <c:pt idx="0">
                  <c:v>BAJO ARAGON MATARRAÑ</c:v>
                </c:pt>
              </c:strCache>
            </c:strRef>
          </c:cat>
          <c:val>
            <c:numRef>
              <c:f>'Tabla porcentajes 2012'!$F$9:$F$10</c:f>
              <c:numCache>
                <c:formatCode>0.0000%</c:formatCode>
                <c:ptCount val="1"/>
                <c:pt idx="0">
                  <c:v>3.3061705171473513E-2</c:v>
                </c:pt>
              </c:numCache>
            </c:numRef>
          </c:val>
        </c:ser>
        <c:dLbls>
          <c:showLegendKey val="0"/>
          <c:showVal val="0"/>
          <c:showCatName val="0"/>
          <c:showSerName val="0"/>
          <c:showPercent val="0"/>
          <c:showBubbleSize val="0"/>
        </c:dLbls>
        <c:gapWidth val="150"/>
        <c:shape val="box"/>
        <c:axId val="117903872"/>
        <c:axId val="117785152"/>
        <c:axId val="0"/>
      </c:bar3DChart>
      <c:catAx>
        <c:axId val="117903872"/>
        <c:scaling>
          <c:orientation val="minMax"/>
        </c:scaling>
        <c:delete val="0"/>
        <c:axPos val="b"/>
        <c:majorTickMark val="out"/>
        <c:minorTickMark val="none"/>
        <c:tickLblPos val="nextTo"/>
        <c:crossAx val="117785152"/>
        <c:crosses val="autoZero"/>
        <c:auto val="1"/>
        <c:lblAlgn val="ctr"/>
        <c:lblOffset val="100"/>
        <c:noMultiLvlLbl val="0"/>
      </c:catAx>
      <c:valAx>
        <c:axId val="117785152"/>
        <c:scaling>
          <c:orientation val="minMax"/>
        </c:scaling>
        <c:delete val="0"/>
        <c:axPos val="l"/>
        <c:majorGridlines/>
        <c:numFmt formatCode="0.00%" sourceLinked="0"/>
        <c:majorTickMark val="out"/>
        <c:minorTickMark val="none"/>
        <c:tickLblPos val="nextTo"/>
        <c:crossAx val="117903872"/>
        <c:crosses val="autoZero"/>
        <c:crossBetween val="between"/>
      </c:valAx>
    </c:plotArea>
    <c:legend>
      <c:legendPos val="b"/>
      <c:layout>
        <c:manualLayout>
          <c:xMode val="edge"/>
          <c:yMode val="edge"/>
          <c:x val="0.7196151056775798"/>
          <c:y val="4.8684471278338533E-2"/>
          <c:w val="0.27706170185200302"/>
          <c:h val="0.94759594888392007"/>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evolucion 2012-2011!Tabla dinámica7</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4.2812982818637033E-2"/>
          <c:y val="2.9117544413950616E-2"/>
          <c:w val="0.67202153254779329"/>
          <c:h val="0.78640932078612125"/>
        </c:manualLayout>
      </c:layout>
      <c:bar3DChart>
        <c:barDir val="col"/>
        <c:grouping val="clustered"/>
        <c:varyColors val="0"/>
        <c:ser>
          <c:idx val="0"/>
          <c:order val="0"/>
          <c:tx>
            <c:strRef>
              <c:f>'Tabla evolucion 2012-2011'!$B$7:$B$8</c:f>
              <c:strCache>
                <c:ptCount val="1"/>
                <c:pt idx="0">
                  <c:v>Total Agricultura, ganadería, silvicultura y pesca</c:v>
                </c:pt>
              </c:strCache>
            </c:strRef>
          </c:tx>
          <c:invertIfNegative val="0"/>
          <c:cat>
            <c:strRef>
              <c:f>'Tabla evolucion 2012-2011'!$A$9</c:f>
              <c:strCache>
                <c:ptCount val="1"/>
                <c:pt idx="0">
                  <c:v>BAJO ARAGON MATARRAÑ</c:v>
                </c:pt>
              </c:strCache>
            </c:strRef>
          </c:cat>
          <c:val>
            <c:numRef>
              <c:f>'Tabla evolucion 2012-2011'!$B$9</c:f>
              <c:numCache>
                <c:formatCode>General</c:formatCode>
                <c:ptCount val="1"/>
                <c:pt idx="0">
                  <c:v>-40</c:v>
                </c:pt>
              </c:numCache>
            </c:numRef>
          </c:val>
        </c:ser>
        <c:ser>
          <c:idx val="1"/>
          <c:order val="1"/>
          <c:tx>
            <c:strRef>
              <c:f>'Tabla evolucion 2012-2011'!$C$7:$C$8</c:f>
              <c:strCache>
                <c:ptCount val="1"/>
                <c:pt idx="0">
                  <c:v>Total Industria</c:v>
                </c:pt>
              </c:strCache>
            </c:strRef>
          </c:tx>
          <c:invertIfNegative val="0"/>
          <c:cat>
            <c:strRef>
              <c:f>'Tabla evolucion 2012-2011'!$A$9</c:f>
              <c:strCache>
                <c:ptCount val="1"/>
                <c:pt idx="0">
                  <c:v>BAJO ARAGON MATARRAÑ</c:v>
                </c:pt>
              </c:strCache>
            </c:strRef>
          </c:cat>
          <c:val>
            <c:numRef>
              <c:f>'Tabla evolucion 2012-2011'!$C$9</c:f>
              <c:numCache>
                <c:formatCode>General</c:formatCode>
                <c:ptCount val="1"/>
                <c:pt idx="0">
                  <c:v>-31</c:v>
                </c:pt>
              </c:numCache>
            </c:numRef>
          </c:val>
        </c:ser>
        <c:ser>
          <c:idx val="2"/>
          <c:order val="2"/>
          <c:tx>
            <c:strRef>
              <c:f>'Tabla evolucion 2012-2011'!$D$7:$D$8</c:f>
              <c:strCache>
                <c:ptCount val="1"/>
                <c:pt idx="0">
                  <c:v>Total Energía y agua</c:v>
                </c:pt>
              </c:strCache>
            </c:strRef>
          </c:tx>
          <c:invertIfNegative val="0"/>
          <c:cat>
            <c:strRef>
              <c:f>'Tabla evolucion 2012-2011'!$A$9</c:f>
              <c:strCache>
                <c:ptCount val="1"/>
                <c:pt idx="0">
                  <c:v>BAJO ARAGON MATARRAÑ</c:v>
                </c:pt>
              </c:strCache>
            </c:strRef>
          </c:cat>
          <c:val>
            <c:numRef>
              <c:f>'Tabla evolucion 2012-2011'!$D$9</c:f>
              <c:numCache>
                <c:formatCode>General</c:formatCode>
                <c:ptCount val="1"/>
                <c:pt idx="0">
                  <c:v>4</c:v>
                </c:pt>
              </c:numCache>
            </c:numRef>
          </c:val>
        </c:ser>
        <c:ser>
          <c:idx val="3"/>
          <c:order val="3"/>
          <c:tx>
            <c:strRef>
              <c:f>'Tabla evolucion 2012-2011'!$E$7:$E$8</c:f>
              <c:strCache>
                <c:ptCount val="1"/>
                <c:pt idx="0">
                  <c:v>Total Construcción</c:v>
                </c:pt>
              </c:strCache>
            </c:strRef>
          </c:tx>
          <c:invertIfNegative val="0"/>
          <c:cat>
            <c:strRef>
              <c:f>'Tabla evolucion 2012-2011'!$A$9</c:f>
              <c:strCache>
                <c:ptCount val="1"/>
                <c:pt idx="0">
                  <c:v>BAJO ARAGON MATARRAÑ</c:v>
                </c:pt>
              </c:strCache>
            </c:strRef>
          </c:cat>
          <c:val>
            <c:numRef>
              <c:f>'Tabla evolucion 2012-2011'!$E$9</c:f>
              <c:numCache>
                <c:formatCode>General</c:formatCode>
                <c:ptCount val="1"/>
                <c:pt idx="0">
                  <c:v>-115</c:v>
                </c:pt>
              </c:numCache>
            </c:numRef>
          </c:val>
        </c:ser>
        <c:ser>
          <c:idx val="4"/>
          <c:order val="4"/>
          <c:tx>
            <c:strRef>
              <c:f>'Tabla evolucion 2012-2011'!$F$7:$F$8</c:f>
              <c:strCache>
                <c:ptCount val="1"/>
                <c:pt idx="0">
                  <c:v>Total Servicios</c:v>
                </c:pt>
              </c:strCache>
            </c:strRef>
          </c:tx>
          <c:invertIfNegative val="0"/>
          <c:cat>
            <c:strRef>
              <c:f>'Tabla evolucion 2012-2011'!$A$9</c:f>
              <c:strCache>
                <c:ptCount val="1"/>
                <c:pt idx="0">
                  <c:v>BAJO ARAGON MATARRAÑ</c:v>
                </c:pt>
              </c:strCache>
            </c:strRef>
          </c:cat>
          <c:val>
            <c:numRef>
              <c:f>'Tabla evolucion 2012-2011'!$F$9</c:f>
              <c:numCache>
                <c:formatCode>General</c:formatCode>
                <c:ptCount val="1"/>
                <c:pt idx="0">
                  <c:v>-238</c:v>
                </c:pt>
              </c:numCache>
            </c:numRef>
          </c:val>
        </c:ser>
        <c:dLbls>
          <c:showLegendKey val="0"/>
          <c:showVal val="0"/>
          <c:showCatName val="0"/>
          <c:showSerName val="0"/>
          <c:showPercent val="0"/>
          <c:showBubbleSize val="0"/>
        </c:dLbls>
        <c:gapWidth val="150"/>
        <c:shape val="box"/>
        <c:axId val="117904384"/>
        <c:axId val="117786304"/>
        <c:axId val="0"/>
      </c:bar3DChart>
      <c:catAx>
        <c:axId val="117904384"/>
        <c:scaling>
          <c:orientation val="minMax"/>
        </c:scaling>
        <c:delete val="0"/>
        <c:axPos val="b"/>
        <c:majorTickMark val="out"/>
        <c:minorTickMark val="none"/>
        <c:tickLblPos val="low"/>
        <c:crossAx val="117786304"/>
        <c:crosses val="autoZero"/>
        <c:auto val="1"/>
        <c:lblAlgn val="ctr"/>
        <c:lblOffset val="100"/>
        <c:noMultiLvlLbl val="0"/>
      </c:catAx>
      <c:valAx>
        <c:axId val="117786304"/>
        <c:scaling>
          <c:orientation val="minMax"/>
        </c:scaling>
        <c:delete val="0"/>
        <c:axPos val="l"/>
        <c:majorGridlines/>
        <c:numFmt formatCode="General" sourceLinked="1"/>
        <c:majorTickMark val="out"/>
        <c:minorTickMark val="none"/>
        <c:tickLblPos val="nextTo"/>
        <c:crossAx val="117904384"/>
        <c:crosses val="autoZero"/>
        <c:crossBetween val="between"/>
      </c:valAx>
    </c:plotArea>
    <c:legend>
      <c:legendPos val="b"/>
      <c:layout>
        <c:manualLayout>
          <c:xMode val="edge"/>
          <c:yMode val="edge"/>
          <c:x val="0.74717470381137419"/>
          <c:y val="0.1071207189526841"/>
          <c:w val="0.24999141746892029"/>
          <c:h val="0.83682904113775713"/>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A8730F-81C8-4E32-8AFC-F641D9564C32}" type="doc">
      <dgm:prSet loTypeId="urn:microsoft.com/office/officeart/2005/8/layout/hList9" loCatId="list" qsTypeId="urn:microsoft.com/office/officeart/2005/8/quickstyle/3d2" qsCatId="3D" csTypeId="urn:microsoft.com/office/officeart/2005/8/colors/accent0_3" csCatId="mainScheme" phldr="1"/>
      <dgm:spPr/>
    </dgm:pt>
    <dgm:pt modelId="{5A345620-AAE9-43AC-BFA5-7DCF838F6E6A}">
      <dgm:prSet phldrT="[Texto]" custT="1"/>
      <dgm:spPr>
        <a:solidFill>
          <a:schemeClr val="accent4">
            <a:lumMod val="75000"/>
          </a:schemeClr>
        </a:solidFill>
      </dgm:spPr>
      <dgm:t>
        <a:bodyPr/>
        <a:lstStyle/>
        <a:p>
          <a:r>
            <a:rPr lang="es-ES" sz="1200" b="1"/>
            <a:t>Superficie:</a:t>
          </a:r>
        </a:p>
      </dgm:t>
    </dgm:pt>
    <dgm:pt modelId="{E6081994-E4C2-4952-BBDE-14351334798F}" type="parTrans" cxnId="{B4D7B75F-EEBF-465C-98A1-5D3AB422E8F3}">
      <dgm:prSet/>
      <dgm:spPr/>
      <dgm:t>
        <a:bodyPr/>
        <a:lstStyle/>
        <a:p>
          <a:endParaRPr lang="es-ES"/>
        </a:p>
      </dgm:t>
    </dgm:pt>
    <dgm:pt modelId="{0DB3948C-1A0B-476A-81D8-3AAF2857D4B8}" type="sibTrans" cxnId="{B4D7B75F-EEBF-465C-98A1-5D3AB422E8F3}">
      <dgm:prSet/>
      <dgm:spPr/>
      <dgm:t>
        <a:bodyPr/>
        <a:lstStyle/>
        <a:p>
          <a:endParaRPr lang="es-ES"/>
        </a:p>
      </dgm:t>
    </dgm:pt>
    <dgm:pt modelId="{8A25AA0E-05A3-48A4-9066-D86732F11EE6}">
      <dgm:prSet phldrT="[Texto]" custT="1"/>
      <dgm:spPr>
        <a:solidFill>
          <a:schemeClr val="accent4">
            <a:lumMod val="75000"/>
          </a:schemeClr>
        </a:solidFill>
      </dgm:spPr>
      <dgm:t>
        <a:bodyPr/>
        <a:lstStyle/>
        <a:p>
          <a:r>
            <a:rPr lang="es-ES" sz="1200" b="1"/>
            <a:t>Densidad de población:</a:t>
          </a:r>
        </a:p>
      </dgm:t>
    </dgm:pt>
    <dgm:pt modelId="{2FE431C9-9F72-4EB8-9D87-44F37525555A}" type="parTrans" cxnId="{EA870C93-2570-45F3-916F-CDD3AFD80254}">
      <dgm:prSet/>
      <dgm:spPr/>
      <dgm:t>
        <a:bodyPr/>
        <a:lstStyle/>
        <a:p>
          <a:endParaRPr lang="es-ES"/>
        </a:p>
      </dgm:t>
    </dgm:pt>
    <dgm:pt modelId="{5232FD1E-CF5B-454C-B2DE-787AB9121A2B}" type="sibTrans" cxnId="{EA870C93-2570-45F3-916F-CDD3AFD80254}">
      <dgm:prSet/>
      <dgm:spPr/>
      <dgm:t>
        <a:bodyPr/>
        <a:lstStyle/>
        <a:p>
          <a:endParaRPr lang="es-ES"/>
        </a:p>
      </dgm:t>
    </dgm:pt>
    <dgm:pt modelId="{DC8F0761-D699-4726-9FCA-759596682644}">
      <dgm:prSet/>
      <dgm:spPr/>
      <dgm:t>
        <a:bodyPr/>
        <a:lstStyle/>
        <a:p>
          <a:r>
            <a:rPr lang="es-ES" b="1" i="0" u="none"/>
            <a:t>2237,25km</a:t>
          </a:r>
          <a:r>
            <a:rPr lang="es-ES" b="1" i="0" u="none" baseline="30000"/>
            <a:t>2</a:t>
          </a:r>
          <a:endParaRPr lang="es-ES" b="1" baseline="30000"/>
        </a:p>
      </dgm:t>
    </dgm:pt>
    <dgm:pt modelId="{BCF338E4-6CE5-47FC-8844-97E4499475F5}" type="parTrans" cxnId="{F23661FA-D4D5-4F66-9766-BE013364C55A}">
      <dgm:prSet/>
      <dgm:spPr/>
      <dgm:t>
        <a:bodyPr/>
        <a:lstStyle/>
        <a:p>
          <a:endParaRPr lang="es-ES"/>
        </a:p>
      </dgm:t>
    </dgm:pt>
    <dgm:pt modelId="{3D522E44-48E3-4E26-A847-8B9E2C2F175D}" type="sibTrans" cxnId="{F23661FA-D4D5-4F66-9766-BE013364C55A}">
      <dgm:prSet/>
      <dgm:spPr/>
      <dgm:t>
        <a:bodyPr/>
        <a:lstStyle/>
        <a:p>
          <a:endParaRPr lang="es-ES"/>
        </a:p>
      </dgm:t>
    </dgm:pt>
    <dgm:pt modelId="{F52A5D61-5B52-41D6-82AD-1AB126421323}">
      <dgm:prSet/>
      <dgm:spPr/>
      <dgm:t>
        <a:bodyPr/>
        <a:lstStyle/>
        <a:p>
          <a:pPr algn="ctr"/>
          <a:r>
            <a:rPr lang="es-ES" b="1" i="0" u="none"/>
            <a:t>17,21</a:t>
          </a:r>
          <a:endParaRPr lang="es-ES" b="1"/>
        </a:p>
      </dgm:t>
    </dgm:pt>
    <dgm:pt modelId="{44CB80DE-7E59-49AB-834D-195C1AEC6F98}" type="parTrans" cxnId="{A3CD7E36-CD76-4FD7-AEE5-5E600344D1DE}">
      <dgm:prSet/>
      <dgm:spPr/>
      <dgm:t>
        <a:bodyPr/>
        <a:lstStyle/>
        <a:p>
          <a:endParaRPr lang="es-ES"/>
        </a:p>
      </dgm:t>
    </dgm:pt>
    <dgm:pt modelId="{E6BF93AC-B433-416D-AA9F-D813E2E7E394}" type="sibTrans" cxnId="{A3CD7E36-CD76-4FD7-AEE5-5E600344D1DE}">
      <dgm:prSet/>
      <dgm:spPr/>
      <dgm:t>
        <a:bodyPr/>
        <a:lstStyle/>
        <a:p>
          <a:endParaRPr lang="es-ES"/>
        </a:p>
      </dgm:t>
    </dgm:pt>
    <dgm:pt modelId="{E62352AE-7A92-409B-A693-FF5F5F371E72}" type="pres">
      <dgm:prSet presAssocID="{18A8730F-81C8-4E32-8AFC-F641D9564C32}" presName="list" presStyleCnt="0">
        <dgm:presLayoutVars>
          <dgm:dir/>
          <dgm:animLvl val="lvl"/>
        </dgm:presLayoutVars>
      </dgm:prSet>
      <dgm:spPr/>
    </dgm:pt>
    <dgm:pt modelId="{601C966D-3AF6-4118-B620-1E3EFBE740C9}" type="pres">
      <dgm:prSet presAssocID="{5A345620-AAE9-43AC-BFA5-7DCF838F6E6A}" presName="posSpace" presStyleCnt="0"/>
      <dgm:spPr/>
    </dgm:pt>
    <dgm:pt modelId="{F36D099F-EEB4-4F98-872E-B1D06C65E133}" type="pres">
      <dgm:prSet presAssocID="{5A345620-AAE9-43AC-BFA5-7DCF838F6E6A}" presName="vertFlow" presStyleCnt="0"/>
      <dgm:spPr/>
    </dgm:pt>
    <dgm:pt modelId="{DB5C4403-791E-4B02-859B-EC3F5B33D810}" type="pres">
      <dgm:prSet presAssocID="{5A345620-AAE9-43AC-BFA5-7DCF838F6E6A}" presName="topSpace" presStyleCnt="0"/>
      <dgm:spPr/>
    </dgm:pt>
    <dgm:pt modelId="{8F52367C-0189-4D38-8029-7D76FCD93C77}" type="pres">
      <dgm:prSet presAssocID="{5A345620-AAE9-43AC-BFA5-7DCF838F6E6A}" presName="firstComp" presStyleCnt="0"/>
      <dgm:spPr/>
    </dgm:pt>
    <dgm:pt modelId="{7E56BCF3-9CB5-4F8B-BE2F-0C63200680D4}" type="pres">
      <dgm:prSet presAssocID="{5A345620-AAE9-43AC-BFA5-7DCF838F6E6A}" presName="firstChild" presStyleLbl="bgAccFollowNode1" presStyleIdx="0" presStyleCnt="2" custScaleY="43160" custLinFactNeighborX="10443" custLinFactNeighborY="-5342"/>
      <dgm:spPr/>
      <dgm:t>
        <a:bodyPr/>
        <a:lstStyle/>
        <a:p>
          <a:endParaRPr lang="es-ES"/>
        </a:p>
      </dgm:t>
    </dgm:pt>
    <dgm:pt modelId="{DACECD24-1E16-43E4-80BE-26CFAFDBDD5C}" type="pres">
      <dgm:prSet presAssocID="{5A345620-AAE9-43AC-BFA5-7DCF838F6E6A}" presName="firstChildTx" presStyleLbl="bgAccFollowNode1" presStyleIdx="0" presStyleCnt="2">
        <dgm:presLayoutVars>
          <dgm:bulletEnabled val="1"/>
        </dgm:presLayoutVars>
      </dgm:prSet>
      <dgm:spPr/>
      <dgm:t>
        <a:bodyPr/>
        <a:lstStyle/>
        <a:p>
          <a:endParaRPr lang="es-ES"/>
        </a:p>
      </dgm:t>
    </dgm:pt>
    <dgm:pt modelId="{5246FFAB-65CC-4258-8CBF-5E13D423474C}" type="pres">
      <dgm:prSet presAssocID="{5A345620-AAE9-43AC-BFA5-7DCF838F6E6A}" presName="negSpace" presStyleCnt="0"/>
      <dgm:spPr/>
    </dgm:pt>
    <dgm:pt modelId="{BF6713A8-036E-43D7-9142-70FA401CC8E0}" type="pres">
      <dgm:prSet presAssocID="{5A345620-AAE9-43AC-BFA5-7DCF838F6E6A}" presName="circle" presStyleLbl="node1" presStyleIdx="0" presStyleCnt="2" custScaleX="114806"/>
      <dgm:spPr/>
      <dgm:t>
        <a:bodyPr/>
        <a:lstStyle/>
        <a:p>
          <a:endParaRPr lang="es-ES"/>
        </a:p>
      </dgm:t>
    </dgm:pt>
    <dgm:pt modelId="{FB6E445D-BFE8-4AE0-9399-C0EECE766FC0}" type="pres">
      <dgm:prSet presAssocID="{0DB3948C-1A0B-476A-81D8-3AAF2857D4B8}" presName="transSpace" presStyleCnt="0"/>
      <dgm:spPr/>
    </dgm:pt>
    <dgm:pt modelId="{99EAC4E4-9F15-4285-B02D-55B2D929CDCE}" type="pres">
      <dgm:prSet presAssocID="{8A25AA0E-05A3-48A4-9066-D86732F11EE6}" presName="posSpace" presStyleCnt="0"/>
      <dgm:spPr/>
    </dgm:pt>
    <dgm:pt modelId="{C29BD979-117A-4098-82FD-CF9E1B668D9D}" type="pres">
      <dgm:prSet presAssocID="{8A25AA0E-05A3-48A4-9066-D86732F11EE6}" presName="vertFlow" presStyleCnt="0"/>
      <dgm:spPr/>
    </dgm:pt>
    <dgm:pt modelId="{A6CEB835-8B0C-4E1D-9DF6-36136D68911F}" type="pres">
      <dgm:prSet presAssocID="{8A25AA0E-05A3-48A4-9066-D86732F11EE6}" presName="topSpace" presStyleCnt="0"/>
      <dgm:spPr/>
    </dgm:pt>
    <dgm:pt modelId="{43FC3AB4-C3DD-4D28-BDA2-12470C5C44D6}" type="pres">
      <dgm:prSet presAssocID="{8A25AA0E-05A3-48A4-9066-D86732F11EE6}" presName="firstComp" presStyleCnt="0"/>
      <dgm:spPr/>
    </dgm:pt>
    <dgm:pt modelId="{53641B60-3D2A-48DF-8978-B44702B50950}" type="pres">
      <dgm:prSet presAssocID="{8A25AA0E-05A3-48A4-9066-D86732F11EE6}" presName="firstChild" presStyleLbl="bgAccFollowNode1" presStyleIdx="1" presStyleCnt="2" custScaleY="39131"/>
      <dgm:spPr/>
      <dgm:t>
        <a:bodyPr/>
        <a:lstStyle/>
        <a:p>
          <a:endParaRPr lang="es-ES"/>
        </a:p>
      </dgm:t>
    </dgm:pt>
    <dgm:pt modelId="{A37BC357-048C-4C8A-9C7C-39AAB06E79AE}" type="pres">
      <dgm:prSet presAssocID="{8A25AA0E-05A3-48A4-9066-D86732F11EE6}" presName="firstChildTx" presStyleLbl="bgAccFollowNode1" presStyleIdx="1" presStyleCnt="2">
        <dgm:presLayoutVars>
          <dgm:bulletEnabled val="1"/>
        </dgm:presLayoutVars>
      </dgm:prSet>
      <dgm:spPr/>
      <dgm:t>
        <a:bodyPr/>
        <a:lstStyle/>
        <a:p>
          <a:endParaRPr lang="es-ES"/>
        </a:p>
      </dgm:t>
    </dgm:pt>
    <dgm:pt modelId="{8196E043-9A47-465E-9AB6-9778260CB821}" type="pres">
      <dgm:prSet presAssocID="{8A25AA0E-05A3-48A4-9066-D86732F11EE6}" presName="negSpace" presStyleCnt="0"/>
      <dgm:spPr/>
    </dgm:pt>
    <dgm:pt modelId="{575C1222-BBA2-426D-9CA7-C61006236803}" type="pres">
      <dgm:prSet presAssocID="{8A25AA0E-05A3-48A4-9066-D86732F11EE6}" presName="circle" presStyleLbl="node1" presStyleIdx="1" presStyleCnt="2" custScaleX="116435"/>
      <dgm:spPr/>
      <dgm:t>
        <a:bodyPr/>
        <a:lstStyle/>
        <a:p>
          <a:endParaRPr lang="es-ES"/>
        </a:p>
      </dgm:t>
    </dgm:pt>
  </dgm:ptLst>
  <dgm:cxnLst>
    <dgm:cxn modelId="{A3CD7E36-CD76-4FD7-AEE5-5E600344D1DE}" srcId="{8A25AA0E-05A3-48A4-9066-D86732F11EE6}" destId="{F52A5D61-5B52-41D6-82AD-1AB126421323}" srcOrd="0" destOrd="0" parTransId="{44CB80DE-7E59-49AB-834D-195C1AEC6F98}" sibTransId="{E6BF93AC-B433-416D-AA9F-D813E2E7E394}"/>
    <dgm:cxn modelId="{B4D7B75F-EEBF-465C-98A1-5D3AB422E8F3}" srcId="{18A8730F-81C8-4E32-8AFC-F641D9564C32}" destId="{5A345620-AAE9-43AC-BFA5-7DCF838F6E6A}" srcOrd="0" destOrd="0" parTransId="{E6081994-E4C2-4952-BBDE-14351334798F}" sibTransId="{0DB3948C-1A0B-476A-81D8-3AAF2857D4B8}"/>
    <dgm:cxn modelId="{F23661FA-D4D5-4F66-9766-BE013364C55A}" srcId="{5A345620-AAE9-43AC-BFA5-7DCF838F6E6A}" destId="{DC8F0761-D699-4726-9FCA-759596682644}" srcOrd="0" destOrd="0" parTransId="{BCF338E4-6CE5-47FC-8844-97E4499475F5}" sibTransId="{3D522E44-48E3-4E26-A847-8B9E2C2F175D}"/>
    <dgm:cxn modelId="{7D0E5B9F-47C9-4126-A5A1-32AFB3C87A21}" type="presOf" srcId="{DC8F0761-D699-4726-9FCA-759596682644}" destId="{DACECD24-1E16-43E4-80BE-26CFAFDBDD5C}" srcOrd="1" destOrd="0" presId="urn:microsoft.com/office/officeart/2005/8/layout/hList9"/>
    <dgm:cxn modelId="{7A69AA3F-74EF-4CDA-A19E-C2BF67DAAE81}" type="presOf" srcId="{18A8730F-81C8-4E32-8AFC-F641D9564C32}" destId="{E62352AE-7A92-409B-A693-FF5F5F371E72}" srcOrd="0" destOrd="0" presId="urn:microsoft.com/office/officeart/2005/8/layout/hList9"/>
    <dgm:cxn modelId="{4A2A4929-DFF7-4C8C-BE35-19CB7F990BB8}" type="presOf" srcId="{8A25AA0E-05A3-48A4-9066-D86732F11EE6}" destId="{575C1222-BBA2-426D-9CA7-C61006236803}" srcOrd="0" destOrd="0" presId="urn:microsoft.com/office/officeart/2005/8/layout/hList9"/>
    <dgm:cxn modelId="{DF1432CA-3290-4238-86AB-DD2222F32DF8}" type="presOf" srcId="{DC8F0761-D699-4726-9FCA-759596682644}" destId="{7E56BCF3-9CB5-4F8B-BE2F-0C63200680D4}" srcOrd="0" destOrd="0" presId="urn:microsoft.com/office/officeart/2005/8/layout/hList9"/>
    <dgm:cxn modelId="{EA870C93-2570-45F3-916F-CDD3AFD80254}" srcId="{18A8730F-81C8-4E32-8AFC-F641D9564C32}" destId="{8A25AA0E-05A3-48A4-9066-D86732F11EE6}" srcOrd="1" destOrd="0" parTransId="{2FE431C9-9F72-4EB8-9D87-44F37525555A}" sibTransId="{5232FD1E-CF5B-454C-B2DE-787AB9121A2B}"/>
    <dgm:cxn modelId="{45F46B2D-1EB2-423D-B185-1CB6E8003C7C}" type="presOf" srcId="{F52A5D61-5B52-41D6-82AD-1AB126421323}" destId="{53641B60-3D2A-48DF-8978-B44702B50950}" srcOrd="0" destOrd="0" presId="urn:microsoft.com/office/officeart/2005/8/layout/hList9"/>
    <dgm:cxn modelId="{5B9C4B7A-E15A-415A-9986-D9522964F15B}" type="presOf" srcId="{F52A5D61-5B52-41D6-82AD-1AB126421323}" destId="{A37BC357-048C-4C8A-9C7C-39AAB06E79AE}" srcOrd="1" destOrd="0" presId="urn:microsoft.com/office/officeart/2005/8/layout/hList9"/>
    <dgm:cxn modelId="{34611ED7-60A1-4BBC-BE68-A8817321A9E5}" type="presOf" srcId="{5A345620-AAE9-43AC-BFA5-7DCF838F6E6A}" destId="{BF6713A8-036E-43D7-9142-70FA401CC8E0}" srcOrd="0" destOrd="0" presId="urn:microsoft.com/office/officeart/2005/8/layout/hList9"/>
    <dgm:cxn modelId="{FA161467-D958-4F4F-A04E-99AA5967DEBC}" type="presParOf" srcId="{E62352AE-7A92-409B-A693-FF5F5F371E72}" destId="{601C966D-3AF6-4118-B620-1E3EFBE740C9}" srcOrd="0" destOrd="0" presId="urn:microsoft.com/office/officeart/2005/8/layout/hList9"/>
    <dgm:cxn modelId="{BD116E68-0E87-485B-9341-4527C10E7CFB}" type="presParOf" srcId="{E62352AE-7A92-409B-A693-FF5F5F371E72}" destId="{F36D099F-EEB4-4F98-872E-B1D06C65E133}" srcOrd="1" destOrd="0" presId="urn:microsoft.com/office/officeart/2005/8/layout/hList9"/>
    <dgm:cxn modelId="{928C9453-5707-47D9-BD88-2C6E84EE65B1}" type="presParOf" srcId="{F36D099F-EEB4-4F98-872E-B1D06C65E133}" destId="{DB5C4403-791E-4B02-859B-EC3F5B33D810}" srcOrd="0" destOrd="0" presId="urn:microsoft.com/office/officeart/2005/8/layout/hList9"/>
    <dgm:cxn modelId="{20D5E4D9-1C46-440D-A2E1-BEA0843C6A39}" type="presParOf" srcId="{F36D099F-EEB4-4F98-872E-B1D06C65E133}" destId="{8F52367C-0189-4D38-8029-7D76FCD93C77}" srcOrd="1" destOrd="0" presId="urn:microsoft.com/office/officeart/2005/8/layout/hList9"/>
    <dgm:cxn modelId="{482B7017-BD82-4B74-AE1F-F85810BCA7D6}" type="presParOf" srcId="{8F52367C-0189-4D38-8029-7D76FCD93C77}" destId="{7E56BCF3-9CB5-4F8B-BE2F-0C63200680D4}" srcOrd="0" destOrd="0" presId="urn:microsoft.com/office/officeart/2005/8/layout/hList9"/>
    <dgm:cxn modelId="{C01C5FDE-F302-4939-82DC-7E45B5836C77}" type="presParOf" srcId="{8F52367C-0189-4D38-8029-7D76FCD93C77}" destId="{DACECD24-1E16-43E4-80BE-26CFAFDBDD5C}" srcOrd="1" destOrd="0" presId="urn:microsoft.com/office/officeart/2005/8/layout/hList9"/>
    <dgm:cxn modelId="{FB1689E2-62CD-40FC-B7A2-5BDCC2106DF1}" type="presParOf" srcId="{E62352AE-7A92-409B-A693-FF5F5F371E72}" destId="{5246FFAB-65CC-4258-8CBF-5E13D423474C}" srcOrd="2" destOrd="0" presId="urn:microsoft.com/office/officeart/2005/8/layout/hList9"/>
    <dgm:cxn modelId="{B7E8C81C-F96A-4A5B-A01D-C98F7B497211}" type="presParOf" srcId="{E62352AE-7A92-409B-A693-FF5F5F371E72}" destId="{BF6713A8-036E-43D7-9142-70FA401CC8E0}" srcOrd="3" destOrd="0" presId="urn:microsoft.com/office/officeart/2005/8/layout/hList9"/>
    <dgm:cxn modelId="{592ED9D5-CC8E-4307-B9F5-AD9B709D2FE7}" type="presParOf" srcId="{E62352AE-7A92-409B-A693-FF5F5F371E72}" destId="{FB6E445D-BFE8-4AE0-9399-C0EECE766FC0}" srcOrd="4" destOrd="0" presId="urn:microsoft.com/office/officeart/2005/8/layout/hList9"/>
    <dgm:cxn modelId="{C28342DD-A7E8-4962-AB20-09082FE6A409}" type="presParOf" srcId="{E62352AE-7A92-409B-A693-FF5F5F371E72}" destId="{99EAC4E4-9F15-4285-B02D-55B2D929CDCE}" srcOrd="5" destOrd="0" presId="urn:microsoft.com/office/officeart/2005/8/layout/hList9"/>
    <dgm:cxn modelId="{E10F459F-AE95-406D-85AC-E029A585ED8C}" type="presParOf" srcId="{E62352AE-7A92-409B-A693-FF5F5F371E72}" destId="{C29BD979-117A-4098-82FD-CF9E1B668D9D}" srcOrd="6" destOrd="0" presId="urn:microsoft.com/office/officeart/2005/8/layout/hList9"/>
    <dgm:cxn modelId="{AA89A184-4210-40FF-9090-E293514DA460}" type="presParOf" srcId="{C29BD979-117A-4098-82FD-CF9E1B668D9D}" destId="{A6CEB835-8B0C-4E1D-9DF6-36136D68911F}" srcOrd="0" destOrd="0" presId="urn:microsoft.com/office/officeart/2005/8/layout/hList9"/>
    <dgm:cxn modelId="{9C69A4F6-BBBC-4164-B635-C2F5D54BA7C5}" type="presParOf" srcId="{C29BD979-117A-4098-82FD-CF9E1B668D9D}" destId="{43FC3AB4-C3DD-4D28-BDA2-12470C5C44D6}" srcOrd="1" destOrd="0" presId="urn:microsoft.com/office/officeart/2005/8/layout/hList9"/>
    <dgm:cxn modelId="{BC9E7415-3744-4579-8B8F-29324BBFAE12}" type="presParOf" srcId="{43FC3AB4-C3DD-4D28-BDA2-12470C5C44D6}" destId="{53641B60-3D2A-48DF-8978-B44702B50950}" srcOrd="0" destOrd="0" presId="urn:microsoft.com/office/officeart/2005/8/layout/hList9"/>
    <dgm:cxn modelId="{77B70D24-DCCE-4BBA-9808-0AB2EF5280AC}" type="presParOf" srcId="{43FC3AB4-C3DD-4D28-BDA2-12470C5C44D6}" destId="{A37BC357-048C-4C8A-9C7C-39AAB06E79AE}" srcOrd="1" destOrd="0" presId="urn:microsoft.com/office/officeart/2005/8/layout/hList9"/>
    <dgm:cxn modelId="{F0FA67C1-DD93-44CE-AD34-AAAE528E9E4B}" type="presParOf" srcId="{E62352AE-7A92-409B-A693-FF5F5F371E72}" destId="{8196E043-9A47-465E-9AB6-9778260CB821}" srcOrd="7" destOrd="0" presId="urn:microsoft.com/office/officeart/2005/8/layout/hList9"/>
    <dgm:cxn modelId="{2B52B4BB-2836-46D5-9BE1-E3D1E2177DBF}" type="presParOf" srcId="{E62352AE-7A92-409B-A693-FF5F5F371E72}" destId="{575C1222-BBA2-426D-9CA7-C61006236803}" srcOrd="8" destOrd="0" presId="urn:microsoft.com/office/officeart/2005/8/layout/hList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56BCF3-9CB5-4F8B-BE2F-0C63200680D4}">
      <dsp:nvSpPr>
        <dsp:cNvPr id="0" name=""/>
        <dsp:cNvSpPr/>
      </dsp:nvSpPr>
      <dsp:spPr>
        <a:xfrm>
          <a:off x="1046120" y="438409"/>
          <a:ext cx="1636206" cy="471026"/>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l" defTabSz="666750">
            <a:lnSpc>
              <a:spcPct val="90000"/>
            </a:lnSpc>
            <a:spcBef>
              <a:spcPct val="0"/>
            </a:spcBef>
            <a:spcAft>
              <a:spcPct val="35000"/>
            </a:spcAft>
          </a:pPr>
          <a:r>
            <a:rPr lang="es-ES" sz="1500" b="1" i="0" u="none" kern="1200"/>
            <a:t>2237,25km</a:t>
          </a:r>
          <a:r>
            <a:rPr lang="es-ES" sz="1500" b="1" i="0" u="none" kern="1200" baseline="30000"/>
            <a:t>2</a:t>
          </a:r>
          <a:endParaRPr lang="es-ES" sz="1500" b="1" kern="1200" baseline="30000"/>
        </a:p>
      </dsp:txBody>
      <dsp:txXfrm>
        <a:off x="1307913" y="438409"/>
        <a:ext cx="1374413" cy="471026"/>
      </dsp:txXfrm>
    </dsp:sp>
    <dsp:sp modelId="{BF6713A8-036E-43D7-9142-70FA401CC8E0}">
      <dsp:nvSpPr>
        <dsp:cNvPr id="0" name=""/>
        <dsp:cNvSpPr/>
      </dsp:nvSpPr>
      <dsp:spPr>
        <a:xfrm>
          <a:off x="2607" y="60387"/>
          <a:ext cx="1252308"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Superficie:</a:t>
          </a:r>
        </a:p>
      </dsp:txBody>
      <dsp:txXfrm>
        <a:off x="186003" y="220132"/>
        <a:ext cx="885516" cy="771314"/>
      </dsp:txXfrm>
    </dsp:sp>
    <dsp:sp modelId="{53641B60-3D2A-48DF-8978-B44702B50950}">
      <dsp:nvSpPr>
        <dsp:cNvPr id="0" name=""/>
        <dsp:cNvSpPr/>
      </dsp:nvSpPr>
      <dsp:spPr>
        <a:xfrm>
          <a:off x="3763765" y="496709"/>
          <a:ext cx="1636206" cy="427055"/>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s-ES" sz="1500" b="1" i="0" u="none" kern="1200"/>
            <a:t>17,21</a:t>
          </a:r>
          <a:endParaRPr lang="es-ES" sz="1500" b="1" kern="1200"/>
        </a:p>
      </dsp:txBody>
      <dsp:txXfrm>
        <a:off x="4025558" y="496709"/>
        <a:ext cx="1374413" cy="427055"/>
      </dsp:txXfrm>
    </dsp:sp>
    <dsp:sp modelId="{575C1222-BBA2-426D-9CA7-C61006236803}">
      <dsp:nvSpPr>
        <dsp:cNvPr id="0" name=""/>
        <dsp:cNvSpPr/>
      </dsp:nvSpPr>
      <dsp:spPr>
        <a:xfrm>
          <a:off x="2891122" y="60387"/>
          <a:ext cx="1270077"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Densidad de población:</a:t>
          </a:r>
        </a:p>
      </dsp:txBody>
      <dsp:txXfrm>
        <a:off x="3077120" y="220132"/>
        <a:ext cx="898081" cy="771314"/>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2001-12-01T00:00:00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5589FF-01E4-48DF-BBA7-BCACC4B10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24</Pages>
  <Words>1850</Words>
  <Characters>10175</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Caracterización territorial de (ASOMO)</vt:lpstr>
    </vt:vector>
  </TitlesOfParts>
  <Company/>
  <LinksUpToDate>false</LinksUpToDate>
  <CharactersWithSpaces>12001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Caracterización territorial de Bajo Aragón-Matarraña</dc:title>
  <dc:subject/>
  <dc:creator>miriam escorza torrijos</dc:creator>
  <cp:keywords/>
  <dc:description/>
  <cp:lastModifiedBy>miriam escorza torrijos</cp:lastModifiedBy>
  <cp:revision>156</cp:revision>
  <dcterms:created xsi:type="dcterms:W3CDTF">2014-12-16T11:01:00Z</dcterms:created>
  <dcterms:modified xsi:type="dcterms:W3CDTF">2015-02-19T10:07:00Z</dcterms:modified>
</cp:coreProperties>
</file>