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5BEEDAF5" wp14:editId="7552C23E">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FA17CC">
            <w:rPr>
              <w:color w:val="000000" w:themeColor="text1"/>
              <w:sz w:val="28"/>
              <w:szCs w:val="28"/>
            </w:rPr>
            <w:t>Febrero 2015</w:t>
          </w:r>
        </w:p>
        <w:p w:rsidR="005047FE" w:rsidRPr="005047FE" w:rsidRDefault="005047FE" w:rsidP="00DA6CCE">
          <w:pPr>
            <w:jc w:val="both"/>
            <w:rPr>
              <w:b/>
              <w:color w:val="FFFFFF" w:themeColor="background1"/>
              <w:sz w:val="32"/>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02F2AB2E" wp14:editId="329DB17E">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28EA" w:rsidRDefault="004028EA" w:rsidP="004028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left:0;text-align:left;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" fillcolor="#5f497a [2407]" stroked="f" strokeweight="2pt">
                    <v:textbox>
                      <w:txbxContent>
                        <w:p w:rsidR="004028EA" w:rsidRDefault="004028EA" w:rsidP="004028EA">
                          <w:pPr>
                            <w:jc w:val="center"/>
                          </w:pPr>
                        </w:p>
                      </w:txbxContent>
                    </v:textbox>
                  </v:rect>
                </w:pict>
              </mc:Fallback>
            </mc:AlternateContent>
          </w:r>
        </w:p>
        <w:sdt>
          <w:sdtPr>
            <w:rPr>
              <w:b/>
              <w:color w:val="FFFFFF" w:themeColor="background1"/>
              <w:sz w:val="32"/>
              <w:szCs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4028EA" w:rsidRDefault="004028EA" w:rsidP="00F36D27">
              <w:pPr>
                <w:jc w:val="center"/>
                <w:rPr>
                  <w:b/>
                  <w:color w:val="FFFFFF" w:themeColor="background1"/>
                  <w:sz w:val="32"/>
                  <w:szCs w:val="32"/>
                </w:rPr>
              </w:pPr>
              <w:r w:rsidRPr="004028EA">
                <w:rPr>
                  <w:b/>
                  <w:color w:val="FFFFFF" w:themeColor="background1"/>
                  <w:sz w:val="32"/>
                  <w:szCs w:val="32"/>
                </w:rPr>
                <w:t xml:space="preserve">Caracterización territorial de Mar de Aragón. Centro para el Desarrollo de las Comarcas del Mar de </w:t>
              </w:r>
              <w:proofErr w:type="spellStart"/>
              <w:r w:rsidRPr="004028EA">
                <w:rPr>
                  <w:b/>
                  <w:color w:val="FFFFFF" w:themeColor="background1"/>
                  <w:sz w:val="32"/>
                  <w:szCs w:val="32"/>
                </w:rPr>
                <w:t>Aragon</w:t>
              </w:r>
              <w:proofErr w:type="spellEnd"/>
              <w:r w:rsidRPr="004028EA">
                <w:rPr>
                  <w:b/>
                  <w:color w:val="FFFFFF" w:themeColor="background1"/>
                  <w:sz w:val="32"/>
                  <w:szCs w:val="32"/>
                </w:rPr>
                <w:t xml:space="preserve"> (</w:t>
              </w:r>
              <w:proofErr w:type="spellStart"/>
              <w:r w:rsidRPr="004028EA">
                <w:rPr>
                  <w:b/>
                  <w:color w:val="FFFFFF" w:themeColor="background1"/>
                  <w:sz w:val="32"/>
                  <w:szCs w:val="32"/>
                </w:rPr>
                <w:t>Cedemar</w:t>
              </w:r>
              <w:proofErr w:type="spellEnd"/>
              <w:r w:rsidRPr="004028EA">
                <w:rPr>
                  <w:b/>
                  <w:color w:val="FFFFFF" w:themeColor="background1"/>
                  <w:sz w:val="32"/>
                  <w:szCs w:val="32"/>
                </w:rPr>
                <w:t>)</w:t>
              </w:r>
            </w:p>
          </w:sdtContent>
        </w:sdt>
        <w:p w:rsidR="005047FE" w:rsidRDefault="005047FE" w:rsidP="00DA6CCE">
          <w:pPr>
            <w:jc w:val="both"/>
            <w:rPr>
              <w:b/>
              <w:color w:val="000000" w:themeColor="text1"/>
              <w:sz w:val="32"/>
              <w:szCs w:val="32"/>
            </w:rPr>
          </w:pPr>
        </w:p>
        <w:p w:rsidR="005047FE" w:rsidRPr="005047FE" w:rsidRDefault="008F1315" w:rsidP="008F1315">
          <w:pPr>
            <w:tabs>
              <w:tab w:val="left" w:pos="1984"/>
            </w:tabs>
            <w:jc w:val="both"/>
            <w:rPr>
              <w:b/>
              <w:color w:val="000000" w:themeColor="text1"/>
              <w:sz w:val="32"/>
              <w:szCs w:val="32"/>
            </w:rPr>
          </w:pPr>
          <w:r>
            <w:rPr>
              <w:b/>
              <w:color w:val="000000" w:themeColor="text1"/>
              <w:sz w:val="32"/>
              <w:szCs w:val="32"/>
            </w:rPr>
            <w:tab/>
          </w:r>
        </w:p>
        <w:p w:rsidR="005047FE" w:rsidRDefault="005047FE" w:rsidP="00DA6CCE">
          <w:pPr>
            <w:jc w:val="both"/>
            <w:rPr>
              <w:noProof/>
              <w:lang w:eastAsia="es-ES"/>
            </w:rPr>
          </w:pPr>
        </w:p>
        <w:p w:rsidR="005B7974" w:rsidRDefault="005B7974" w:rsidP="00DA6CCE">
          <w:pPr>
            <w:jc w:val="both"/>
            <w:rPr>
              <w:noProof/>
              <w:lang w:eastAsia="es-ES"/>
            </w:rPr>
          </w:pPr>
        </w:p>
        <w:p w:rsidR="005B7974" w:rsidRDefault="004028EA" w:rsidP="004028EA">
          <w:pPr>
            <w:jc w:val="center"/>
            <w:rPr>
              <w:noProof/>
              <w:lang w:eastAsia="es-ES"/>
            </w:rPr>
          </w:pPr>
          <w:r>
            <w:rPr>
              <w:noProof/>
              <w:lang w:eastAsia="es-ES"/>
            </w:rPr>
            <w:drawing>
              <wp:inline distT="0" distB="0" distL="0" distR="0">
                <wp:extent cx="5400040" cy="4050030"/>
                <wp:effectExtent l="0" t="0" r="0" b="7620"/>
                <wp:docPr id="3" name="Imagen 3" descr="bajo-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jo-mart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5B7974" w:rsidRDefault="005B7974" w:rsidP="00DA6CCE">
          <w:pPr>
            <w:jc w:val="both"/>
            <w:rPr>
              <w:noProof/>
              <w:lang w:eastAsia="es-ES"/>
            </w:rPr>
          </w:pPr>
        </w:p>
        <w:p w:rsidR="005B7974" w:rsidRDefault="005B7974" w:rsidP="00DA6CCE">
          <w:pPr>
            <w:jc w:val="both"/>
            <w:rPr>
              <w:noProof/>
              <w:lang w:eastAsia="es-ES"/>
            </w:rPr>
          </w:pPr>
        </w:p>
        <w:p w:rsidR="005B7974" w:rsidRDefault="005B7974" w:rsidP="00DA6CCE">
          <w:pPr>
            <w:jc w:val="both"/>
            <w:rPr>
              <w:noProof/>
              <w:lang w:eastAsia="es-ES"/>
            </w:rPr>
          </w:pPr>
        </w:p>
        <w:p w:rsidR="005B7974" w:rsidRDefault="005B7974" w:rsidP="00DA6CCE">
          <w:pPr>
            <w:jc w:val="both"/>
            <w:rPr>
              <w:noProof/>
              <w:lang w:eastAsia="es-ES"/>
            </w:rPr>
          </w:pPr>
        </w:p>
        <w:tbl>
          <w:tblPr>
            <w:tblpPr w:leftFromText="187" w:rightFromText="187" w:vertAnchor="page" w:horzAnchor="margin" w:tblpY="14881"/>
            <w:tblOverlap w:val="never"/>
            <w:tblW w:w="0" w:type="auto"/>
            <w:tblLook w:val="04A0" w:firstRow="1" w:lastRow="0" w:firstColumn="1" w:lastColumn="0" w:noHBand="0" w:noVBand="1"/>
          </w:tblPr>
          <w:tblGrid>
            <w:gridCol w:w="8720"/>
          </w:tblGrid>
          <w:tr w:rsidR="004028EA" w:rsidTr="004028EA">
            <w:trPr>
              <w:trHeight w:val="360"/>
            </w:trPr>
            <w:tc>
              <w:tcPr>
                <w:tcW w:w="8720" w:type="dxa"/>
              </w:tcPr>
              <w:p w:rsidR="004028EA" w:rsidRPr="005047FE" w:rsidRDefault="004028EA" w:rsidP="004028EA">
                <w:pPr>
                  <w:pStyle w:val="Sinespaciado"/>
                  <w:jc w:val="both"/>
                  <w:rPr>
                    <w:b/>
                    <w:color w:val="000000" w:themeColor="text1"/>
                    <w:sz w:val="32"/>
                    <w:szCs w:val="32"/>
                  </w:rPr>
                </w:pPr>
                <w:r w:rsidRPr="005047FE">
                  <w:rPr>
                    <w:b/>
                    <w:color w:val="000000" w:themeColor="text1"/>
                    <w:sz w:val="32"/>
                    <w:szCs w:val="32"/>
                  </w:rPr>
                  <w:t>RADR</w:t>
                </w:r>
              </w:p>
            </w:tc>
          </w:tr>
        </w:tbl>
        <w:p w:rsidR="005B7974" w:rsidRDefault="005B7974" w:rsidP="00DA6CCE">
          <w:pPr>
            <w:jc w:val="both"/>
            <w:rPr>
              <w:noProof/>
              <w:lang w:eastAsia="es-ES"/>
            </w:rPr>
          </w:pPr>
        </w:p>
        <w:p w:rsidR="00974B32" w:rsidRDefault="00974B32" w:rsidP="00DA6CCE">
          <w:pPr>
            <w:jc w:val="both"/>
            <w:rPr>
              <w:noProof/>
              <w:lang w:eastAsia="es-ES"/>
            </w:rPr>
          </w:pPr>
        </w:p>
        <w:p w:rsidR="00425194" w:rsidRDefault="008F1315" w:rsidP="00DA6CCE">
          <w:pPr>
            <w:jc w:val="both"/>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66AF07F0" wp14:editId="63D078DF">
                    <wp:simplePos x="0" y="0"/>
                    <wp:positionH relativeFrom="column">
                      <wp:posOffset>-198755</wp:posOffset>
                    </wp:positionH>
                    <wp:positionV relativeFrom="paragraph">
                      <wp:posOffset>-38100</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left:0;text-align:left;margin-left:-15.65pt;margin-top:-3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8F1315" w:rsidRDefault="008F1315"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4FB9F86C" wp14:editId="2C7C3947">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82A0A" w:rsidRDefault="00482A0A" w:rsidP="00DA6CCE">
          <w:pPr>
            <w:jc w:val="both"/>
            <w:rPr>
              <w:noProof/>
              <w:lang w:eastAsia="es-ES"/>
            </w:rPr>
          </w:pPr>
        </w:p>
        <w:tbl>
          <w:tblPr>
            <w:tblStyle w:val="Sombreadomedio1-nfasis4"/>
            <w:tblW w:w="8542" w:type="dxa"/>
            <w:jc w:val="center"/>
            <w:tblLook w:val="04A0" w:firstRow="1" w:lastRow="0" w:firstColumn="1" w:lastColumn="0" w:noHBand="0" w:noVBand="1"/>
          </w:tblPr>
          <w:tblGrid>
            <w:gridCol w:w="2855"/>
            <w:gridCol w:w="1635"/>
            <w:gridCol w:w="1381"/>
            <w:gridCol w:w="1289"/>
            <w:gridCol w:w="1382"/>
          </w:tblGrid>
          <w:tr w:rsidR="001B65A0" w:rsidRPr="001B65A0" w:rsidTr="001B65A0">
            <w:trPr>
              <w:cnfStyle w:val="100000000000" w:firstRow="1" w:lastRow="0"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855" w:type="dxa"/>
                <w:noWrap/>
                <w:hideMark/>
              </w:tcPr>
              <w:p w:rsidR="001B65A0" w:rsidRPr="001B65A0" w:rsidRDefault="001B65A0" w:rsidP="001B65A0">
                <w:pPr>
                  <w:jc w:val="center"/>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GRUPO</w:t>
                </w:r>
              </w:p>
            </w:tc>
            <w:tc>
              <w:tcPr>
                <w:tcW w:w="1635" w:type="dxa"/>
                <w:noWrap/>
                <w:hideMark/>
              </w:tcPr>
              <w:p w:rsidR="001B65A0" w:rsidRPr="001B65A0" w:rsidRDefault="001B65A0" w:rsidP="001B65A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CEDEMAR</w:t>
                </w:r>
              </w:p>
            </w:tc>
            <w:tc>
              <w:tcPr>
                <w:tcW w:w="1381" w:type="dxa"/>
                <w:noWrap/>
                <w:hideMark/>
              </w:tcPr>
              <w:p w:rsidR="001B65A0" w:rsidRPr="001B65A0" w:rsidRDefault="001B65A0" w:rsidP="001B65A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289" w:type="dxa"/>
                <w:noWrap/>
                <w:hideMark/>
              </w:tcPr>
              <w:p w:rsidR="001B65A0" w:rsidRPr="001B65A0" w:rsidRDefault="001B65A0" w:rsidP="001B65A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381" w:type="dxa"/>
                <w:noWrap/>
                <w:hideMark/>
              </w:tcPr>
              <w:p w:rsidR="001B65A0" w:rsidRPr="001B65A0" w:rsidRDefault="001B65A0" w:rsidP="001B65A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855" w:type="dxa"/>
                <w:vMerge w:val="restart"/>
                <w:hideMark/>
              </w:tcPr>
              <w:p w:rsidR="001B65A0" w:rsidRPr="001B65A0" w:rsidRDefault="001B65A0" w:rsidP="001B65A0">
                <w:pPr>
                  <w:jc w:val="center"/>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Clasificación zona</w:t>
                </w:r>
              </w:p>
            </w:tc>
            <w:tc>
              <w:tcPr>
                <w:tcW w:w="3016" w:type="dxa"/>
                <w:gridSpan w:val="2"/>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1B65A0">
                  <w:rPr>
                    <w:rFonts w:ascii="Calibri" w:eastAsia="Times New Roman" w:hAnsi="Calibri" w:cs="Times New Roman"/>
                    <w:b/>
                    <w:bCs/>
                    <w:sz w:val="20"/>
                    <w:szCs w:val="20"/>
                    <w:lang w:eastAsia="es-ES"/>
                  </w:rPr>
                  <w:t>Población</w:t>
                </w:r>
              </w:p>
            </w:tc>
            <w:tc>
              <w:tcPr>
                <w:tcW w:w="2671" w:type="dxa"/>
                <w:gridSpan w:val="2"/>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1B65A0">
                  <w:rPr>
                    <w:rFonts w:ascii="Calibri" w:eastAsia="Times New Roman" w:hAnsi="Calibri" w:cs="Times New Roman"/>
                    <w:b/>
                    <w:bCs/>
                    <w:sz w:val="20"/>
                    <w:szCs w:val="20"/>
                    <w:lang w:eastAsia="es-ES"/>
                  </w:rPr>
                  <w:t>Localidades</w:t>
                </w:r>
              </w:p>
            </w:tc>
          </w:tr>
          <w:tr w:rsidR="001B65A0" w:rsidRPr="001B65A0" w:rsidTr="001B65A0">
            <w:trPr>
              <w:cnfStyle w:val="000000010000" w:firstRow="0" w:lastRow="0" w:firstColumn="0" w:lastColumn="0" w:oddVBand="0" w:evenVBand="0" w:oddHBand="0" w:evenHBand="1"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855" w:type="dxa"/>
                <w:vMerge/>
                <w:hideMark/>
              </w:tcPr>
              <w:p w:rsidR="001B65A0" w:rsidRPr="001B65A0" w:rsidRDefault="001B65A0" w:rsidP="001B65A0">
                <w:pPr>
                  <w:rPr>
                    <w:rFonts w:ascii="Calibri" w:eastAsia="Times New Roman" w:hAnsi="Calibri" w:cs="Times New Roman"/>
                    <w:sz w:val="20"/>
                    <w:szCs w:val="20"/>
                    <w:lang w:eastAsia="es-ES"/>
                  </w:rPr>
                </w:pPr>
              </w:p>
            </w:tc>
            <w:tc>
              <w:tcPr>
                <w:tcW w:w="1635"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1B65A0">
                  <w:rPr>
                    <w:rFonts w:ascii="Calibri" w:eastAsia="Times New Roman" w:hAnsi="Calibri" w:cs="Times New Roman"/>
                    <w:b/>
                    <w:bCs/>
                    <w:sz w:val="20"/>
                    <w:szCs w:val="20"/>
                    <w:lang w:eastAsia="es-ES"/>
                  </w:rPr>
                  <w:t>Nº</w:t>
                </w:r>
              </w:p>
            </w:tc>
            <w:tc>
              <w:tcPr>
                <w:tcW w:w="1381"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1B65A0">
                  <w:rPr>
                    <w:rFonts w:ascii="Calibri" w:eastAsia="Times New Roman" w:hAnsi="Calibri" w:cs="Times New Roman"/>
                    <w:b/>
                    <w:bCs/>
                    <w:sz w:val="20"/>
                    <w:szCs w:val="20"/>
                    <w:lang w:eastAsia="es-ES"/>
                  </w:rPr>
                  <w:t>%</w:t>
                </w:r>
              </w:p>
            </w:tc>
            <w:tc>
              <w:tcPr>
                <w:tcW w:w="1289"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1B65A0">
                  <w:rPr>
                    <w:rFonts w:ascii="Calibri" w:eastAsia="Times New Roman" w:hAnsi="Calibri" w:cs="Times New Roman"/>
                    <w:b/>
                    <w:bCs/>
                    <w:sz w:val="20"/>
                    <w:szCs w:val="20"/>
                    <w:lang w:eastAsia="es-ES"/>
                  </w:rPr>
                  <w:t>Nº</w:t>
                </w:r>
              </w:p>
            </w:tc>
            <w:tc>
              <w:tcPr>
                <w:tcW w:w="1381"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1B65A0">
                  <w:rPr>
                    <w:rFonts w:ascii="Calibri" w:eastAsia="Times New Roman" w:hAnsi="Calibri" w:cs="Times New Roman"/>
                    <w:b/>
                    <w:bCs/>
                    <w:sz w:val="20"/>
                    <w:szCs w:val="20"/>
                    <w:lang w:eastAsia="es-ES"/>
                  </w:rPr>
                  <w:t>%</w:t>
                </w: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855" w:type="dxa"/>
                <w:noWrap/>
                <w:hideMark/>
              </w:tcPr>
              <w:p w:rsidR="001B65A0" w:rsidRPr="001B65A0" w:rsidRDefault="001B65A0" w:rsidP="001B65A0">
                <w:pPr>
                  <w:jc w:val="center"/>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Zona rural (&lt;2000)</w:t>
                </w:r>
              </w:p>
            </w:tc>
            <w:tc>
              <w:tcPr>
                <w:tcW w:w="1635"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9673</w:t>
                </w:r>
              </w:p>
            </w:tc>
            <w:tc>
              <w:tcPr>
                <w:tcW w:w="1381"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39,92%</w:t>
                </w:r>
              </w:p>
            </w:tc>
            <w:tc>
              <w:tcPr>
                <w:tcW w:w="1289"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13</w:t>
                </w:r>
              </w:p>
            </w:tc>
            <w:tc>
              <w:tcPr>
                <w:tcW w:w="1381"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81,25%</w:t>
                </w:r>
              </w:p>
            </w:tc>
          </w:tr>
          <w:tr w:rsidR="001B65A0" w:rsidRPr="001B65A0" w:rsidTr="001B65A0">
            <w:trPr>
              <w:cnfStyle w:val="000000010000" w:firstRow="0" w:lastRow="0" w:firstColumn="0" w:lastColumn="0" w:oddVBand="0" w:evenVBand="0" w:oddHBand="0" w:evenHBand="1"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855" w:type="dxa"/>
                <w:noWrap/>
                <w:hideMark/>
              </w:tcPr>
              <w:p w:rsidR="001B65A0" w:rsidRPr="001B65A0" w:rsidRDefault="001B65A0" w:rsidP="001B65A0">
                <w:pPr>
                  <w:jc w:val="center"/>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Zona intermedia (&lt; 10000)</w:t>
                </w:r>
              </w:p>
            </w:tc>
            <w:tc>
              <w:tcPr>
                <w:tcW w:w="1635"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14558</w:t>
                </w:r>
              </w:p>
            </w:tc>
            <w:tc>
              <w:tcPr>
                <w:tcW w:w="1381"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60,08%</w:t>
                </w:r>
              </w:p>
            </w:tc>
            <w:tc>
              <w:tcPr>
                <w:tcW w:w="1289"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3</w:t>
                </w:r>
              </w:p>
            </w:tc>
            <w:tc>
              <w:tcPr>
                <w:tcW w:w="1381"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18,75%</w:t>
                </w: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855" w:type="dxa"/>
                <w:noWrap/>
                <w:hideMark/>
              </w:tcPr>
              <w:p w:rsidR="001B65A0" w:rsidRPr="001B65A0" w:rsidRDefault="001B65A0" w:rsidP="001B65A0">
                <w:pPr>
                  <w:jc w:val="center"/>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Zona urbana (&gt; 10000)</w:t>
                </w:r>
              </w:p>
            </w:tc>
            <w:tc>
              <w:tcPr>
                <w:tcW w:w="1635"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0</w:t>
                </w:r>
              </w:p>
            </w:tc>
            <w:tc>
              <w:tcPr>
                <w:tcW w:w="1381"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0,00%</w:t>
                </w:r>
              </w:p>
            </w:tc>
            <w:tc>
              <w:tcPr>
                <w:tcW w:w="1289"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0</w:t>
                </w:r>
              </w:p>
            </w:tc>
            <w:tc>
              <w:tcPr>
                <w:tcW w:w="1381"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0,00%</w:t>
                </w:r>
              </w:p>
            </w:tc>
          </w:tr>
          <w:tr w:rsidR="001B65A0" w:rsidRPr="001B65A0" w:rsidTr="001B65A0">
            <w:trPr>
              <w:cnfStyle w:val="000000010000" w:firstRow="0" w:lastRow="0" w:firstColumn="0" w:lastColumn="0" w:oddVBand="0" w:evenVBand="0" w:oddHBand="0" w:evenHBand="1"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855" w:type="dxa"/>
                <w:noWrap/>
                <w:hideMark/>
              </w:tcPr>
              <w:p w:rsidR="001B65A0" w:rsidRPr="001B65A0" w:rsidRDefault="001B65A0" w:rsidP="001B65A0">
                <w:pPr>
                  <w:jc w:val="center"/>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Total</w:t>
                </w:r>
              </w:p>
            </w:tc>
            <w:tc>
              <w:tcPr>
                <w:tcW w:w="1635"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24231</w:t>
                </w:r>
              </w:p>
            </w:tc>
            <w:tc>
              <w:tcPr>
                <w:tcW w:w="1381"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100,00%</w:t>
                </w:r>
              </w:p>
            </w:tc>
            <w:tc>
              <w:tcPr>
                <w:tcW w:w="1289"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16</w:t>
                </w:r>
              </w:p>
            </w:tc>
            <w:tc>
              <w:tcPr>
                <w:tcW w:w="1381"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1B65A0">
                  <w:rPr>
                    <w:rFonts w:ascii="Calibri" w:eastAsia="Times New Roman" w:hAnsi="Calibri"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047FE" w:rsidRDefault="001B65A0" w:rsidP="00482A0A">
          <w:pPr>
            <w:pStyle w:val="Prrafodelista"/>
            <w:ind w:left="284"/>
            <w:jc w:val="both"/>
            <w:rPr>
              <w:noProof/>
              <w:lang w:eastAsia="es-ES"/>
            </w:rPr>
          </w:pPr>
          <w:r>
            <w:rPr>
              <w:noProof/>
              <w:lang w:eastAsia="es-ES"/>
            </w:rPr>
            <w:drawing>
              <wp:inline distT="0" distB="0" distL="0" distR="0" wp14:anchorId="34AE1DCE" wp14:editId="16BA267B">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22AC" w:rsidRDefault="008222AC" w:rsidP="00DA6CCE">
          <w:pPr>
            <w:jc w:val="both"/>
            <w:rPr>
              <w:noProof/>
              <w:lang w:eastAsia="es-ES"/>
            </w:rPr>
          </w:pPr>
        </w:p>
        <w:p w:rsidR="001B65A0" w:rsidRDefault="001B65A0"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lastRenderedPageBreak/>
            <w:t>Evolución de la población (1900-2013):</w:t>
          </w:r>
        </w:p>
        <w:p w:rsidR="00533C22" w:rsidRDefault="00533C22" w:rsidP="00DA6CCE">
          <w:pPr>
            <w:pStyle w:val="Prrafodelista"/>
            <w:jc w:val="both"/>
            <w:rPr>
              <w:b/>
              <w:sz w:val="24"/>
              <w:szCs w:val="24"/>
            </w:rPr>
          </w:pPr>
        </w:p>
        <w:p w:rsidR="00533C22" w:rsidRDefault="001B65A0" w:rsidP="00DC45B6">
          <w:pPr>
            <w:pStyle w:val="Prrafodelista"/>
            <w:ind w:left="426"/>
            <w:jc w:val="center"/>
            <w:rPr>
              <w:b/>
              <w:sz w:val="24"/>
              <w:szCs w:val="24"/>
            </w:rPr>
          </w:pPr>
          <w:r>
            <w:rPr>
              <w:noProof/>
              <w:lang w:eastAsia="es-ES"/>
            </w:rPr>
            <w:drawing>
              <wp:inline distT="0" distB="0" distL="0" distR="0" wp14:anchorId="7E62EA76" wp14:editId="33C9B065">
                <wp:extent cx="5405120" cy="3037840"/>
                <wp:effectExtent l="0" t="0" r="24130" b="1016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482A0A" w:rsidRDefault="00482A0A" w:rsidP="00482A0A">
          <w:pPr>
            <w:pStyle w:val="Prrafodelista"/>
            <w:jc w:val="both"/>
            <w:rPr>
              <w:sz w:val="24"/>
              <w:szCs w:val="24"/>
            </w:rPr>
          </w:pPr>
        </w:p>
        <w:p w:rsidR="00533C22" w:rsidRDefault="001B65A0" w:rsidP="00A33934">
          <w:pPr>
            <w:pStyle w:val="Prrafodelista"/>
            <w:jc w:val="both"/>
            <w:rPr>
              <w:sz w:val="24"/>
              <w:szCs w:val="24"/>
            </w:rPr>
          </w:pPr>
          <w:r w:rsidRPr="001B65A0">
            <w:rPr>
              <w:noProof/>
              <w:lang w:eastAsia="es-ES"/>
            </w:rPr>
            <w:drawing>
              <wp:inline distT="0" distB="0" distL="0" distR="0" wp14:anchorId="5B80F286" wp14:editId="7CE4E4BB">
                <wp:extent cx="5394960" cy="12293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230518"/>
                        </a:xfrm>
                        <a:prstGeom prst="rect">
                          <a:avLst/>
                        </a:prstGeom>
                        <a:noFill/>
                        <a:ln>
                          <a:noFill/>
                        </a:ln>
                      </pic:spPr>
                    </pic:pic>
                  </a:graphicData>
                </a:graphic>
              </wp:inline>
            </w:drawing>
          </w:r>
        </w:p>
        <w:p w:rsidR="00A33934" w:rsidRPr="00A33934" w:rsidRDefault="00A33934" w:rsidP="00A33934">
          <w:pPr>
            <w:pStyle w:val="Prrafodelista"/>
            <w:jc w:val="both"/>
            <w:rPr>
              <w:sz w:val="24"/>
              <w:szCs w:val="24"/>
            </w:rPr>
          </w:pPr>
        </w:p>
        <w:p w:rsidR="00533C22" w:rsidRDefault="00533C22" w:rsidP="00FA17CC">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A33934" w:rsidRPr="00FA17CC" w:rsidRDefault="00A33934" w:rsidP="00A33934">
          <w:pPr>
            <w:pStyle w:val="Prrafodelista"/>
            <w:jc w:val="both"/>
            <w:rPr>
              <w:sz w:val="24"/>
              <w:szCs w:val="24"/>
            </w:rPr>
          </w:pPr>
        </w:p>
        <w:p w:rsidR="00533C22" w:rsidRDefault="001B65A0" w:rsidP="00CE7FA3">
          <w:pPr>
            <w:pStyle w:val="Prrafodelista"/>
            <w:ind w:left="567"/>
            <w:jc w:val="both"/>
            <w:rPr>
              <w:sz w:val="24"/>
              <w:szCs w:val="24"/>
            </w:rPr>
          </w:pPr>
          <w:r w:rsidRPr="001B65A0">
            <w:rPr>
              <w:noProof/>
              <w:lang w:eastAsia="es-ES"/>
            </w:rPr>
            <w:drawing>
              <wp:inline distT="0" distB="0" distL="0" distR="0" wp14:anchorId="7427C2E8" wp14:editId="346D2A8E">
                <wp:extent cx="5547360" cy="120903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2584" cy="1210178"/>
                        </a:xfrm>
                        <a:prstGeom prst="rect">
                          <a:avLst/>
                        </a:prstGeom>
                        <a:noFill/>
                        <a:ln>
                          <a:noFill/>
                        </a:ln>
                      </pic:spPr>
                    </pic:pic>
                  </a:graphicData>
                </a:graphic>
              </wp:inline>
            </w:drawing>
          </w:r>
        </w:p>
        <w:p w:rsidR="00BB78C6" w:rsidRDefault="00BB78C6" w:rsidP="00DA6CCE">
          <w:pPr>
            <w:jc w:val="both"/>
            <w:rPr>
              <w:sz w:val="24"/>
              <w:szCs w:val="24"/>
            </w:rPr>
          </w:pPr>
        </w:p>
        <w:p w:rsidR="00482A0A" w:rsidRPr="0092710E" w:rsidRDefault="00482A0A"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1B65A0" w:rsidP="00DA6CCE">
          <w:pPr>
            <w:pStyle w:val="Prrafodelista"/>
            <w:ind w:left="426"/>
            <w:jc w:val="both"/>
          </w:pPr>
          <w:r w:rsidRPr="001B65A0">
            <w:rPr>
              <w:noProof/>
              <w:lang w:eastAsia="es-ES"/>
            </w:rPr>
            <w:drawing>
              <wp:inline distT="0" distB="0" distL="0" distR="0" wp14:anchorId="5B064F31" wp14:editId="1C190131">
                <wp:extent cx="5618480" cy="49784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9752" cy="501497"/>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1B65A0" w:rsidP="00DA6CCE">
          <w:pPr>
            <w:pStyle w:val="Prrafodelista"/>
            <w:ind w:left="426"/>
            <w:jc w:val="both"/>
            <w:rPr>
              <w:b/>
              <w:sz w:val="24"/>
              <w:szCs w:val="24"/>
            </w:rPr>
          </w:pPr>
          <w:r w:rsidRPr="001B65A0">
            <w:rPr>
              <w:noProof/>
              <w:lang w:eastAsia="es-ES"/>
            </w:rPr>
            <w:drawing>
              <wp:inline distT="0" distB="0" distL="0" distR="0" wp14:anchorId="064F67FB" wp14:editId="2F54BDFC">
                <wp:extent cx="5618480" cy="44704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9754" cy="450324"/>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1B65A0" w:rsidP="00DA6CCE">
          <w:pPr>
            <w:pStyle w:val="Prrafodelista"/>
            <w:ind w:left="426"/>
            <w:jc w:val="both"/>
            <w:rPr>
              <w:b/>
              <w:sz w:val="24"/>
              <w:szCs w:val="24"/>
            </w:rPr>
          </w:pPr>
          <w:r w:rsidRPr="001B65A0">
            <w:rPr>
              <w:noProof/>
              <w:lang w:eastAsia="es-ES"/>
            </w:rPr>
            <w:drawing>
              <wp:inline distT="0" distB="0" distL="0" distR="0" wp14:anchorId="6109300E" wp14:editId="38857C2D">
                <wp:extent cx="5618480" cy="51816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749" cy="521966"/>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1B65A0" w:rsidP="00FA17CC">
          <w:pPr>
            <w:pStyle w:val="Prrafodelista"/>
            <w:ind w:hanging="153"/>
            <w:jc w:val="both"/>
            <w:rPr>
              <w:b/>
              <w:sz w:val="24"/>
              <w:szCs w:val="24"/>
            </w:rPr>
          </w:pPr>
          <w:r>
            <w:rPr>
              <w:noProof/>
              <w:lang w:eastAsia="es-ES"/>
            </w:rPr>
            <w:drawing>
              <wp:inline distT="0" distB="0" distL="0" distR="0" wp14:anchorId="73F9A42F" wp14:editId="4B1C971C">
                <wp:extent cx="5400040" cy="2457452"/>
                <wp:effectExtent l="38100" t="0" r="1016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330" w:rsidRDefault="001B65A0" w:rsidP="00FA17CC">
          <w:pPr>
            <w:pStyle w:val="Prrafodelista"/>
            <w:ind w:left="709" w:right="-1" w:hanging="142"/>
            <w:jc w:val="both"/>
            <w:rPr>
              <w:b/>
              <w:sz w:val="24"/>
              <w:szCs w:val="24"/>
            </w:rPr>
          </w:pPr>
          <w:r>
            <w:rPr>
              <w:noProof/>
              <w:lang w:eastAsia="es-ES"/>
            </w:rPr>
            <w:drawing>
              <wp:inline distT="0" distB="0" distL="0" distR="0" wp14:anchorId="22DDE6B7" wp14:editId="35E8B048">
                <wp:extent cx="5394960" cy="2682240"/>
                <wp:effectExtent l="0" t="0" r="15240" b="2286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2AC" w:rsidRDefault="008222AC" w:rsidP="00DA6CCE">
          <w:pPr>
            <w:pStyle w:val="Prrafodelista"/>
            <w:ind w:left="567" w:right="-1" w:firstLine="142"/>
            <w:jc w:val="both"/>
            <w:rPr>
              <w:b/>
              <w:sz w:val="24"/>
              <w:szCs w:val="24"/>
            </w:rPr>
          </w:pPr>
        </w:p>
        <w:p w:rsidR="00BB78C6" w:rsidRDefault="00BB78C6" w:rsidP="00DA6CCE">
          <w:pPr>
            <w:pStyle w:val="Prrafodelista"/>
            <w:ind w:left="567" w:right="-1" w:firstLine="142"/>
            <w:jc w:val="both"/>
            <w:rPr>
              <w:b/>
              <w:sz w:val="24"/>
              <w:szCs w:val="24"/>
            </w:rPr>
          </w:pPr>
        </w:p>
        <w:p w:rsidR="00482A0A" w:rsidRPr="008E7AAF" w:rsidRDefault="00482A0A" w:rsidP="008E7AAF">
          <w:pPr>
            <w:ind w:right="-1"/>
            <w:jc w:val="both"/>
            <w:rPr>
              <w:b/>
              <w:sz w:val="24"/>
              <w:szCs w:val="24"/>
            </w:rPr>
          </w:pPr>
        </w:p>
        <w:p w:rsidR="00906EF5" w:rsidRPr="00DA0DF8" w:rsidRDefault="00906EF5" w:rsidP="00DA6CCE">
          <w:pPr>
            <w:pStyle w:val="Prrafodelista"/>
            <w:numPr>
              <w:ilvl w:val="0"/>
              <w:numId w:val="1"/>
            </w:numPr>
            <w:jc w:val="both"/>
            <w:rPr>
              <w:b/>
              <w:sz w:val="24"/>
              <w:szCs w:val="24"/>
            </w:rPr>
          </w:pPr>
          <w:r w:rsidRPr="00DA0DF8">
            <w:rPr>
              <w:b/>
              <w:sz w:val="24"/>
              <w:szCs w:val="24"/>
            </w:rPr>
            <w:lastRenderedPageBreak/>
            <w:t>Tasas e indicadores:</w:t>
          </w:r>
        </w:p>
        <w:tbl>
          <w:tblPr>
            <w:tblStyle w:val="Sombreadomedio1-nfasis4"/>
            <w:tblW w:w="7720" w:type="dxa"/>
            <w:jc w:val="center"/>
            <w:tblLook w:val="04A0" w:firstRow="1" w:lastRow="0" w:firstColumn="1" w:lastColumn="0" w:noHBand="0" w:noVBand="1"/>
          </w:tblPr>
          <w:tblGrid>
            <w:gridCol w:w="2500"/>
            <w:gridCol w:w="2420"/>
            <w:gridCol w:w="2800"/>
          </w:tblGrid>
          <w:tr w:rsidR="001B65A0" w:rsidRPr="001B65A0" w:rsidTr="001B65A0">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1B65A0" w:rsidRPr="001B65A0" w:rsidRDefault="001B65A0" w:rsidP="001B65A0">
                <w:pPr>
                  <w:jc w:val="center"/>
                  <w:rPr>
                    <w:rFonts w:eastAsia="Times New Roman" w:cs="Times New Roman"/>
                    <w:sz w:val="20"/>
                    <w:szCs w:val="20"/>
                    <w:lang w:eastAsia="es-ES"/>
                  </w:rPr>
                </w:pPr>
                <w:r w:rsidRPr="001B65A0">
                  <w:rPr>
                    <w:rFonts w:eastAsia="Times New Roman" w:cs="Times New Roman"/>
                    <w:sz w:val="20"/>
                    <w:szCs w:val="20"/>
                    <w:lang w:eastAsia="es-ES"/>
                  </w:rPr>
                  <w:t>Tasa de masculinidad</w:t>
                </w:r>
              </w:p>
            </w:tc>
            <w:tc>
              <w:tcPr>
                <w:tcW w:w="2420" w:type="dxa"/>
                <w:vMerge w:val="restart"/>
                <w:noWrap/>
                <w:hideMark/>
              </w:tcPr>
              <w:p w:rsidR="001B65A0" w:rsidRPr="001B65A0" w:rsidRDefault="001B65A0" w:rsidP="001B65A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1B65A0">
                  <w:rPr>
                    <w:rFonts w:eastAsia="Times New Roman" w:cs="Times New Roman"/>
                    <w:sz w:val="20"/>
                    <w:szCs w:val="20"/>
                    <w:lang w:eastAsia="es-ES"/>
                  </w:rPr>
                  <w:t>Aragón</w:t>
                </w:r>
              </w:p>
            </w:tc>
            <w:tc>
              <w:tcPr>
                <w:tcW w:w="2800" w:type="dxa"/>
                <w:vMerge w:val="restart"/>
                <w:noWrap/>
                <w:hideMark/>
              </w:tcPr>
              <w:p w:rsidR="001B65A0" w:rsidRPr="001B65A0" w:rsidRDefault="001B65A0" w:rsidP="001B65A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1B65A0">
                  <w:rPr>
                    <w:rFonts w:eastAsia="Times New Roman" w:cs="Times New Roman"/>
                    <w:sz w:val="20"/>
                    <w:szCs w:val="20"/>
                    <w:lang w:eastAsia="es-ES"/>
                  </w:rPr>
                  <w:t>GAL</w:t>
                </w: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1B65A0" w:rsidRPr="001B65A0" w:rsidRDefault="001B65A0" w:rsidP="001B65A0">
                <w:pPr>
                  <w:rPr>
                    <w:rFonts w:eastAsia="Times New Roman" w:cs="Times New Roman"/>
                    <w:sz w:val="20"/>
                    <w:szCs w:val="20"/>
                    <w:lang w:eastAsia="es-ES"/>
                  </w:rPr>
                </w:pPr>
              </w:p>
            </w:tc>
            <w:tc>
              <w:tcPr>
                <w:tcW w:w="2420" w:type="dxa"/>
                <w:vMerge/>
                <w:hideMark/>
              </w:tcPr>
              <w:p w:rsidR="001B65A0" w:rsidRPr="001B65A0" w:rsidRDefault="001B65A0" w:rsidP="001B65A0">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1B65A0" w:rsidRPr="001B65A0" w:rsidRDefault="001B65A0" w:rsidP="001B65A0">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1B65A0" w:rsidRPr="001B65A0" w:rsidTr="001B65A0">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1B65A0" w:rsidRPr="001B65A0" w:rsidRDefault="001B65A0" w:rsidP="001B65A0">
                <w:pPr>
                  <w:rPr>
                    <w:rFonts w:eastAsia="Times New Roman" w:cs="Times New Roman"/>
                    <w:sz w:val="20"/>
                    <w:szCs w:val="20"/>
                    <w:lang w:eastAsia="es-ES"/>
                  </w:rPr>
                </w:pPr>
              </w:p>
            </w:tc>
            <w:tc>
              <w:tcPr>
                <w:tcW w:w="2420"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1B65A0">
                  <w:rPr>
                    <w:rFonts w:eastAsia="Times New Roman" w:cs="Times New Roman"/>
                    <w:b/>
                    <w:bCs/>
                    <w:sz w:val="20"/>
                    <w:szCs w:val="20"/>
                    <w:lang w:eastAsia="es-ES"/>
                  </w:rPr>
                  <w:t>98,94%</w:t>
                </w:r>
              </w:p>
            </w:tc>
            <w:tc>
              <w:tcPr>
                <w:tcW w:w="2800"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1B65A0">
                  <w:rPr>
                    <w:rFonts w:eastAsia="Times New Roman" w:cs="Times New Roman"/>
                    <w:b/>
                    <w:bCs/>
                    <w:sz w:val="20"/>
                    <w:szCs w:val="20"/>
                    <w:lang w:eastAsia="es-ES"/>
                  </w:rPr>
                  <w:t>108,46%</w:t>
                </w: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1B65A0" w:rsidRPr="001B65A0" w:rsidRDefault="001B65A0" w:rsidP="001B65A0">
                <w:pPr>
                  <w:jc w:val="center"/>
                  <w:rPr>
                    <w:rFonts w:eastAsia="Times New Roman" w:cs="Times New Roman"/>
                    <w:sz w:val="20"/>
                    <w:szCs w:val="20"/>
                    <w:lang w:eastAsia="es-ES"/>
                  </w:rPr>
                </w:pPr>
                <w:r w:rsidRPr="001B65A0">
                  <w:rPr>
                    <w:rFonts w:eastAsia="Times New Roman" w:cs="Times New Roman"/>
                    <w:sz w:val="20"/>
                    <w:szCs w:val="20"/>
                    <w:lang w:eastAsia="es-ES"/>
                  </w:rPr>
                  <w:t>(número de varones dividido entre número de mujeres</w:t>
                </w:r>
              </w:p>
            </w:tc>
            <w:tc>
              <w:tcPr>
                <w:tcW w:w="2420"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1B65A0" w:rsidRPr="001B65A0" w:rsidTr="001B65A0">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1B65A0" w:rsidRPr="001B65A0" w:rsidRDefault="001B65A0" w:rsidP="001B65A0">
                <w:pPr>
                  <w:jc w:val="center"/>
                  <w:rPr>
                    <w:rFonts w:eastAsia="Times New Roman" w:cs="Times New Roman"/>
                    <w:sz w:val="20"/>
                    <w:szCs w:val="20"/>
                    <w:lang w:eastAsia="es-ES"/>
                  </w:rPr>
                </w:pPr>
              </w:p>
            </w:tc>
            <w:tc>
              <w:tcPr>
                <w:tcW w:w="2420"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1B65A0" w:rsidRPr="001B65A0" w:rsidRDefault="001B65A0" w:rsidP="001B65A0">
                <w:pPr>
                  <w:jc w:val="center"/>
                  <w:rPr>
                    <w:rFonts w:eastAsia="Times New Roman" w:cs="Times New Roman"/>
                    <w:sz w:val="20"/>
                    <w:szCs w:val="20"/>
                    <w:lang w:eastAsia="es-ES"/>
                  </w:rPr>
                </w:pPr>
                <w:r w:rsidRPr="001B65A0">
                  <w:rPr>
                    <w:rFonts w:eastAsia="Times New Roman" w:cs="Times New Roman"/>
                    <w:sz w:val="20"/>
                    <w:szCs w:val="20"/>
                    <w:lang w:eastAsia="es-ES"/>
                  </w:rPr>
                  <w:t>Índice de maternidad</w:t>
                </w:r>
              </w:p>
            </w:tc>
            <w:tc>
              <w:tcPr>
                <w:tcW w:w="2420" w:type="dxa"/>
                <w:vMerge w:val="restart"/>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1B65A0">
                  <w:rPr>
                    <w:rFonts w:eastAsia="Times New Roman" w:cs="Times New Roman"/>
                    <w:b/>
                    <w:bCs/>
                    <w:sz w:val="20"/>
                    <w:szCs w:val="20"/>
                    <w:lang w:eastAsia="es-ES"/>
                  </w:rPr>
                  <w:t>Aragón</w:t>
                </w:r>
              </w:p>
            </w:tc>
            <w:tc>
              <w:tcPr>
                <w:tcW w:w="2800" w:type="dxa"/>
                <w:vMerge w:val="restart"/>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1B65A0">
                  <w:rPr>
                    <w:rFonts w:eastAsia="Times New Roman" w:cs="Times New Roman"/>
                    <w:b/>
                    <w:bCs/>
                    <w:sz w:val="20"/>
                    <w:szCs w:val="20"/>
                    <w:lang w:eastAsia="es-ES"/>
                  </w:rPr>
                  <w:t>GAL</w:t>
                </w:r>
              </w:p>
            </w:tc>
          </w:tr>
          <w:tr w:rsidR="001B65A0" w:rsidRPr="001B65A0" w:rsidTr="001B65A0">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1B65A0" w:rsidRPr="001B65A0" w:rsidRDefault="001B65A0" w:rsidP="001B65A0">
                <w:pPr>
                  <w:rPr>
                    <w:rFonts w:eastAsia="Times New Roman" w:cs="Times New Roman"/>
                    <w:sz w:val="20"/>
                    <w:szCs w:val="20"/>
                    <w:lang w:eastAsia="es-ES"/>
                  </w:rPr>
                </w:pPr>
              </w:p>
            </w:tc>
            <w:tc>
              <w:tcPr>
                <w:tcW w:w="2420" w:type="dxa"/>
                <w:vMerge/>
                <w:hideMark/>
              </w:tcPr>
              <w:p w:rsidR="001B65A0" w:rsidRPr="001B65A0" w:rsidRDefault="001B65A0" w:rsidP="001B65A0">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1B65A0" w:rsidRPr="001B65A0" w:rsidRDefault="001B65A0" w:rsidP="001B65A0">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1B65A0" w:rsidRPr="001B65A0" w:rsidRDefault="001B65A0" w:rsidP="001B65A0">
                <w:pPr>
                  <w:rPr>
                    <w:rFonts w:eastAsia="Times New Roman" w:cs="Times New Roman"/>
                    <w:sz w:val="20"/>
                    <w:szCs w:val="20"/>
                    <w:lang w:eastAsia="es-ES"/>
                  </w:rPr>
                </w:pPr>
              </w:p>
            </w:tc>
            <w:tc>
              <w:tcPr>
                <w:tcW w:w="2420"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1B65A0">
                  <w:rPr>
                    <w:rFonts w:eastAsia="Times New Roman" w:cs="Times New Roman"/>
                    <w:b/>
                    <w:bCs/>
                    <w:sz w:val="20"/>
                    <w:szCs w:val="20"/>
                    <w:lang w:eastAsia="es-ES"/>
                  </w:rPr>
                  <w:t>20,92%</w:t>
                </w:r>
              </w:p>
            </w:tc>
            <w:tc>
              <w:tcPr>
                <w:tcW w:w="2800"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1B65A0">
                  <w:rPr>
                    <w:rFonts w:eastAsia="Times New Roman" w:cs="Times New Roman"/>
                    <w:b/>
                    <w:bCs/>
                    <w:sz w:val="20"/>
                    <w:szCs w:val="20"/>
                    <w:lang w:eastAsia="es-ES"/>
                  </w:rPr>
                  <w:t>21,50%</w:t>
                </w:r>
              </w:p>
            </w:tc>
          </w:tr>
          <w:tr w:rsidR="001B65A0" w:rsidRPr="001B65A0" w:rsidTr="001B65A0">
            <w:trPr>
              <w:cnfStyle w:val="000000010000" w:firstRow="0" w:lastRow="0" w:firstColumn="0" w:lastColumn="0" w:oddVBand="0" w:evenVBand="0" w:oddHBand="0" w:evenHBand="1"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1B65A0" w:rsidRPr="001B65A0" w:rsidRDefault="001B65A0" w:rsidP="001B65A0">
                <w:pPr>
                  <w:jc w:val="center"/>
                  <w:rPr>
                    <w:rFonts w:eastAsia="Times New Roman" w:cs="Times New Roman"/>
                    <w:sz w:val="20"/>
                    <w:szCs w:val="20"/>
                    <w:lang w:eastAsia="es-ES"/>
                  </w:rPr>
                </w:pPr>
                <w:r w:rsidRPr="001B65A0">
                  <w:rPr>
                    <w:rFonts w:eastAsia="Times New Roman" w:cs="Times New Roman"/>
                    <w:sz w:val="20"/>
                    <w:szCs w:val="20"/>
                    <w:lang w:eastAsia="es-ES"/>
                  </w:rPr>
                  <w:t>(número de niños de 0 a4 años entre mujeres de 15 a 49)</w:t>
                </w:r>
              </w:p>
            </w:tc>
            <w:tc>
              <w:tcPr>
                <w:tcW w:w="2420"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1B65A0" w:rsidRPr="001B65A0" w:rsidRDefault="001B65A0" w:rsidP="001B65A0">
                <w:pPr>
                  <w:jc w:val="center"/>
                  <w:rPr>
                    <w:rFonts w:eastAsia="Times New Roman" w:cs="Times New Roman"/>
                    <w:sz w:val="20"/>
                    <w:szCs w:val="20"/>
                    <w:lang w:eastAsia="es-ES"/>
                  </w:rPr>
                </w:pPr>
              </w:p>
            </w:tc>
            <w:tc>
              <w:tcPr>
                <w:tcW w:w="2420"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1B65A0" w:rsidRPr="001B65A0" w:rsidTr="001B65A0">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1B65A0" w:rsidRPr="001B65A0" w:rsidRDefault="001B65A0" w:rsidP="001B65A0">
                <w:pPr>
                  <w:jc w:val="center"/>
                  <w:rPr>
                    <w:rFonts w:eastAsia="Times New Roman" w:cs="Times New Roman"/>
                    <w:sz w:val="20"/>
                    <w:szCs w:val="20"/>
                    <w:lang w:eastAsia="es-ES"/>
                  </w:rPr>
                </w:pPr>
                <w:r w:rsidRPr="001B65A0">
                  <w:rPr>
                    <w:rFonts w:eastAsia="Times New Roman" w:cs="Times New Roman"/>
                    <w:sz w:val="20"/>
                    <w:szCs w:val="20"/>
                    <w:lang w:eastAsia="es-ES"/>
                  </w:rPr>
                  <w:t>Índice de potencialidad</w:t>
                </w:r>
              </w:p>
            </w:tc>
            <w:tc>
              <w:tcPr>
                <w:tcW w:w="2420" w:type="dxa"/>
                <w:vMerge w:val="restart"/>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1B65A0">
                  <w:rPr>
                    <w:rFonts w:eastAsia="Times New Roman" w:cs="Times New Roman"/>
                    <w:b/>
                    <w:bCs/>
                    <w:sz w:val="20"/>
                    <w:szCs w:val="20"/>
                    <w:lang w:eastAsia="es-ES"/>
                  </w:rPr>
                  <w:t>Aragón</w:t>
                </w:r>
              </w:p>
            </w:tc>
            <w:tc>
              <w:tcPr>
                <w:tcW w:w="2800" w:type="dxa"/>
                <w:vMerge w:val="restart"/>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1B65A0">
                  <w:rPr>
                    <w:rFonts w:eastAsia="Times New Roman" w:cs="Times New Roman"/>
                    <w:b/>
                    <w:bCs/>
                    <w:sz w:val="20"/>
                    <w:szCs w:val="20"/>
                    <w:lang w:eastAsia="es-ES"/>
                  </w:rPr>
                  <w:t>GAL</w:t>
                </w: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1B65A0" w:rsidRPr="001B65A0" w:rsidRDefault="001B65A0" w:rsidP="001B65A0">
                <w:pPr>
                  <w:rPr>
                    <w:rFonts w:eastAsia="Times New Roman" w:cs="Times New Roman"/>
                    <w:sz w:val="20"/>
                    <w:szCs w:val="20"/>
                    <w:lang w:eastAsia="es-ES"/>
                  </w:rPr>
                </w:pPr>
              </w:p>
            </w:tc>
            <w:tc>
              <w:tcPr>
                <w:tcW w:w="2420" w:type="dxa"/>
                <w:vMerge/>
                <w:hideMark/>
              </w:tcPr>
              <w:p w:rsidR="001B65A0" w:rsidRPr="001B65A0" w:rsidRDefault="001B65A0" w:rsidP="001B65A0">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1B65A0" w:rsidRPr="001B65A0" w:rsidRDefault="001B65A0" w:rsidP="001B65A0">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1B65A0" w:rsidRPr="001B65A0" w:rsidTr="001B65A0">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1B65A0" w:rsidRPr="001B65A0" w:rsidRDefault="001B65A0" w:rsidP="001B65A0">
                <w:pPr>
                  <w:rPr>
                    <w:rFonts w:eastAsia="Times New Roman" w:cs="Times New Roman"/>
                    <w:sz w:val="20"/>
                    <w:szCs w:val="20"/>
                    <w:lang w:eastAsia="es-ES"/>
                  </w:rPr>
                </w:pPr>
              </w:p>
            </w:tc>
            <w:tc>
              <w:tcPr>
                <w:tcW w:w="2420"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1B65A0">
                  <w:rPr>
                    <w:rFonts w:eastAsia="Times New Roman" w:cs="Times New Roman"/>
                    <w:b/>
                    <w:bCs/>
                    <w:sz w:val="20"/>
                    <w:szCs w:val="20"/>
                    <w:lang w:eastAsia="es-ES"/>
                  </w:rPr>
                  <w:t>77,01%</w:t>
                </w:r>
              </w:p>
            </w:tc>
            <w:tc>
              <w:tcPr>
                <w:tcW w:w="2800"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1B65A0">
                  <w:rPr>
                    <w:rFonts w:eastAsia="Times New Roman" w:cs="Times New Roman"/>
                    <w:b/>
                    <w:bCs/>
                    <w:sz w:val="20"/>
                    <w:szCs w:val="20"/>
                    <w:lang w:eastAsia="es-ES"/>
                  </w:rPr>
                  <w:t>88,89%</w:t>
                </w: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1B65A0" w:rsidRPr="001B65A0" w:rsidRDefault="001B65A0" w:rsidP="001B65A0">
                <w:pPr>
                  <w:jc w:val="center"/>
                  <w:rPr>
                    <w:rFonts w:eastAsia="Times New Roman" w:cs="Times New Roman"/>
                    <w:sz w:val="20"/>
                    <w:szCs w:val="20"/>
                    <w:lang w:eastAsia="es-ES"/>
                  </w:rPr>
                </w:pPr>
                <w:r w:rsidRPr="001B65A0">
                  <w:rPr>
                    <w:rFonts w:eastAsia="Times New Roman" w:cs="Times New Roman"/>
                    <w:sz w:val="20"/>
                    <w:szCs w:val="20"/>
                    <w:lang w:eastAsia="es-ES"/>
                  </w:rPr>
                  <w:t>(número mujeres de 20 a 34 entre mujeres de 35 a 49)</w:t>
                </w:r>
              </w:p>
            </w:tc>
            <w:tc>
              <w:tcPr>
                <w:tcW w:w="2420"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1B65A0" w:rsidRPr="001B65A0" w:rsidTr="001B65A0">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1B65A0" w:rsidRPr="001B65A0" w:rsidRDefault="001B65A0" w:rsidP="001B65A0">
                <w:pPr>
                  <w:jc w:val="center"/>
                  <w:rPr>
                    <w:rFonts w:eastAsia="Times New Roman" w:cs="Times New Roman"/>
                    <w:sz w:val="20"/>
                    <w:szCs w:val="20"/>
                    <w:lang w:eastAsia="es-ES"/>
                  </w:rPr>
                </w:pPr>
              </w:p>
            </w:tc>
            <w:tc>
              <w:tcPr>
                <w:tcW w:w="2420"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1B65A0" w:rsidRPr="001B65A0" w:rsidRDefault="001B65A0" w:rsidP="001B65A0">
                <w:pPr>
                  <w:jc w:val="center"/>
                  <w:rPr>
                    <w:rFonts w:eastAsia="Times New Roman" w:cs="Times New Roman"/>
                    <w:sz w:val="20"/>
                    <w:szCs w:val="20"/>
                    <w:lang w:eastAsia="es-ES"/>
                  </w:rPr>
                </w:pPr>
              </w:p>
            </w:tc>
            <w:tc>
              <w:tcPr>
                <w:tcW w:w="2420"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1B65A0" w:rsidRPr="001B65A0" w:rsidTr="001B65A0">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1B65A0" w:rsidRPr="001B65A0" w:rsidRDefault="001B65A0" w:rsidP="001B65A0">
                <w:pPr>
                  <w:jc w:val="center"/>
                  <w:rPr>
                    <w:rFonts w:eastAsia="Times New Roman" w:cs="Times New Roman"/>
                    <w:sz w:val="20"/>
                    <w:szCs w:val="20"/>
                    <w:lang w:eastAsia="es-ES"/>
                  </w:rPr>
                </w:pPr>
                <w:r w:rsidRPr="001B65A0">
                  <w:rPr>
                    <w:rFonts w:eastAsia="Times New Roman" w:cs="Times New Roman"/>
                    <w:sz w:val="20"/>
                    <w:szCs w:val="20"/>
                    <w:lang w:eastAsia="es-ES"/>
                  </w:rPr>
                  <w:t xml:space="preserve">Coeficiente de </w:t>
                </w:r>
                <w:proofErr w:type="spellStart"/>
                <w:r w:rsidRPr="001B65A0">
                  <w:rPr>
                    <w:rFonts w:eastAsia="Times New Roman" w:cs="Times New Roman"/>
                    <w:sz w:val="20"/>
                    <w:szCs w:val="20"/>
                    <w:lang w:eastAsia="es-ES"/>
                  </w:rPr>
                  <w:t>sustitucion</w:t>
                </w:r>
                <w:proofErr w:type="spellEnd"/>
              </w:p>
            </w:tc>
            <w:tc>
              <w:tcPr>
                <w:tcW w:w="2420" w:type="dxa"/>
                <w:vMerge w:val="restart"/>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1B65A0">
                  <w:rPr>
                    <w:rFonts w:eastAsia="Times New Roman" w:cs="Times New Roman"/>
                    <w:b/>
                    <w:bCs/>
                    <w:sz w:val="20"/>
                    <w:szCs w:val="20"/>
                    <w:lang w:eastAsia="es-ES"/>
                  </w:rPr>
                  <w:t>Aragón</w:t>
                </w:r>
              </w:p>
            </w:tc>
            <w:tc>
              <w:tcPr>
                <w:tcW w:w="2800" w:type="dxa"/>
                <w:vMerge w:val="restart"/>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1B65A0">
                  <w:rPr>
                    <w:rFonts w:eastAsia="Times New Roman" w:cs="Times New Roman"/>
                    <w:b/>
                    <w:bCs/>
                    <w:sz w:val="20"/>
                    <w:szCs w:val="20"/>
                    <w:lang w:eastAsia="es-ES"/>
                  </w:rPr>
                  <w:t>GAL</w:t>
                </w: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1B65A0" w:rsidRPr="001B65A0" w:rsidRDefault="001B65A0" w:rsidP="001B65A0">
                <w:pPr>
                  <w:rPr>
                    <w:rFonts w:eastAsia="Times New Roman" w:cs="Times New Roman"/>
                    <w:sz w:val="20"/>
                    <w:szCs w:val="20"/>
                    <w:lang w:eastAsia="es-ES"/>
                  </w:rPr>
                </w:pPr>
              </w:p>
            </w:tc>
            <w:tc>
              <w:tcPr>
                <w:tcW w:w="2420" w:type="dxa"/>
                <w:vMerge/>
                <w:hideMark/>
              </w:tcPr>
              <w:p w:rsidR="001B65A0" w:rsidRPr="001B65A0" w:rsidRDefault="001B65A0" w:rsidP="001B65A0">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1B65A0" w:rsidRPr="001B65A0" w:rsidRDefault="001B65A0" w:rsidP="001B65A0">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1B65A0" w:rsidRPr="001B65A0" w:rsidTr="001B65A0">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1B65A0" w:rsidRPr="001B65A0" w:rsidRDefault="001B65A0" w:rsidP="001B65A0">
                <w:pPr>
                  <w:rPr>
                    <w:rFonts w:eastAsia="Times New Roman" w:cs="Times New Roman"/>
                    <w:sz w:val="20"/>
                    <w:szCs w:val="20"/>
                    <w:lang w:eastAsia="es-ES"/>
                  </w:rPr>
                </w:pPr>
              </w:p>
            </w:tc>
            <w:tc>
              <w:tcPr>
                <w:tcW w:w="2420"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1B65A0">
                  <w:rPr>
                    <w:rFonts w:eastAsia="Times New Roman" w:cs="Times New Roman"/>
                    <w:b/>
                    <w:bCs/>
                    <w:sz w:val="20"/>
                    <w:szCs w:val="20"/>
                    <w:lang w:eastAsia="es-ES"/>
                  </w:rPr>
                  <w:t>80,06%</w:t>
                </w:r>
              </w:p>
            </w:tc>
            <w:tc>
              <w:tcPr>
                <w:tcW w:w="2800" w:type="dxa"/>
                <w:noWrap/>
                <w:hideMark/>
              </w:tcPr>
              <w:p w:rsidR="001B65A0" w:rsidRPr="001B65A0" w:rsidRDefault="001B65A0" w:rsidP="001B65A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1B65A0">
                  <w:rPr>
                    <w:rFonts w:eastAsia="Times New Roman" w:cs="Times New Roman"/>
                    <w:b/>
                    <w:bCs/>
                    <w:sz w:val="20"/>
                    <w:szCs w:val="20"/>
                    <w:lang w:eastAsia="es-ES"/>
                  </w:rPr>
                  <w:t>77,59%</w:t>
                </w: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1B65A0" w:rsidRPr="001B65A0" w:rsidRDefault="001B65A0" w:rsidP="001B65A0">
                <w:pPr>
                  <w:jc w:val="center"/>
                  <w:rPr>
                    <w:rFonts w:eastAsia="Times New Roman" w:cs="Times New Roman"/>
                    <w:sz w:val="20"/>
                    <w:szCs w:val="20"/>
                    <w:lang w:eastAsia="es-ES"/>
                  </w:rPr>
                </w:pPr>
                <w:r w:rsidRPr="001B65A0">
                  <w:rPr>
                    <w:rFonts w:eastAsia="Times New Roman" w:cs="Times New Roman"/>
                    <w:sz w:val="20"/>
                    <w:szCs w:val="20"/>
                    <w:lang w:eastAsia="es-ES"/>
                  </w:rPr>
                  <w:t>(número de personas de 10 a 14 años entre personas de 60 a 64 años)</w:t>
                </w:r>
              </w:p>
            </w:tc>
            <w:tc>
              <w:tcPr>
                <w:tcW w:w="2420"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8222AC" w:rsidRDefault="001B65A0" w:rsidP="00BB78C6">
          <w:pPr>
            <w:ind w:left="142"/>
            <w:jc w:val="both"/>
            <w:rPr>
              <w:b/>
              <w:sz w:val="24"/>
              <w:szCs w:val="24"/>
            </w:rPr>
          </w:pPr>
          <w:r>
            <w:rPr>
              <w:noProof/>
              <w:lang w:eastAsia="es-ES"/>
            </w:rPr>
            <w:drawing>
              <wp:inline distT="0" distB="0" distL="0" distR="0" wp14:anchorId="3ABF7DAB" wp14:editId="5F44D5D9">
                <wp:extent cx="5400040" cy="2668859"/>
                <wp:effectExtent l="0" t="0" r="10160" b="1778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3934" w:rsidRPr="00974B32" w:rsidRDefault="00A33934" w:rsidP="00BB78C6">
          <w:pPr>
            <w:ind w:left="142"/>
            <w:jc w:val="both"/>
            <w:rPr>
              <w:b/>
              <w:sz w:val="24"/>
              <w:szCs w:val="24"/>
            </w:rPr>
          </w:pPr>
        </w:p>
        <w:p w:rsidR="007344D7" w:rsidRPr="007344D7" w:rsidRDefault="00C6493A" w:rsidP="00DA6CCE">
          <w:pPr>
            <w:pStyle w:val="Prrafodelista"/>
            <w:numPr>
              <w:ilvl w:val="0"/>
              <w:numId w:val="1"/>
            </w:numPr>
            <w:jc w:val="both"/>
            <w:rPr>
              <w:b/>
              <w:sz w:val="24"/>
              <w:szCs w:val="24"/>
            </w:rPr>
          </w:pPr>
          <w:r w:rsidRPr="00C6493A">
            <w:rPr>
              <w:b/>
              <w:sz w:val="24"/>
              <w:szCs w:val="24"/>
            </w:rPr>
            <w:lastRenderedPageBreak/>
            <w:t>Evolución de las defunciones (2006-2012):</w:t>
          </w:r>
        </w:p>
        <w:p w:rsidR="00B12E0D" w:rsidRDefault="001B65A0" w:rsidP="00FA17CC">
          <w:pPr>
            <w:pStyle w:val="Prrafodelista"/>
            <w:ind w:hanging="578"/>
            <w:jc w:val="both"/>
            <w:rPr>
              <w:b/>
              <w:sz w:val="24"/>
              <w:szCs w:val="24"/>
            </w:rPr>
          </w:pPr>
          <w:r>
            <w:rPr>
              <w:noProof/>
              <w:lang w:eastAsia="es-ES"/>
            </w:rPr>
            <w:drawing>
              <wp:inline distT="0" distB="0" distL="0" distR="0" wp14:anchorId="6ECCBFAB" wp14:editId="3FE1FB28">
                <wp:extent cx="5400040" cy="2551546"/>
                <wp:effectExtent l="0" t="0" r="10160" b="2032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400" w:type="dxa"/>
            <w:tblLook w:val="04A0" w:firstRow="1" w:lastRow="0" w:firstColumn="1" w:lastColumn="0" w:noHBand="0" w:noVBand="1"/>
          </w:tblPr>
          <w:tblGrid>
            <w:gridCol w:w="3800"/>
            <w:gridCol w:w="1517"/>
            <w:gridCol w:w="1443"/>
            <w:gridCol w:w="1353"/>
            <w:gridCol w:w="1287"/>
          </w:tblGrid>
          <w:tr w:rsidR="001B65A0" w:rsidRPr="001B65A0" w:rsidTr="001B65A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B65A0" w:rsidRPr="001B65A0" w:rsidRDefault="001B65A0" w:rsidP="001B65A0">
                <w:pPr>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 </w:t>
                </w:r>
              </w:p>
            </w:tc>
            <w:tc>
              <w:tcPr>
                <w:tcW w:w="2960" w:type="dxa"/>
                <w:gridSpan w:val="2"/>
                <w:noWrap/>
                <w:hideMark/>
              </w:tcPr>
              <w:p w:rsidR="001B65A0" w:rsidRPr="001B65A0" w:rsidRDefault="001B65A0" w:rsidP="001B65A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2012</w:t>
                </w:r>
              </w:p>
            </w:tc>
            <w:tc>
              <w:tcPr>
                <w:tcW w:w="2640" w:type="dxa"/>
                <w:gridSpan w:val="2"/>
                <w:noWrap/>
                <w:hideMark/>
              </w:tcPr>
              <w:p w:rsidR="001B65A0" w:rsidRPr="001B65A0" w:rsidRDefault="001B65A0" w:rsidP="001B65A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2011</w:t>
                </w: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B65A0" w:rsidRPr="001B65A0" w:rsidRDefault="001B65A0" w:rsidP="001B65A0">
                <w:pPr>
                  <w:rPr>
                    <w:rFonts w:ascii="Arial" w:eastAsia="Times New Roman" w:hAnsi="Arial" w:cs="Arial"/>
                    <w:sz w:val="16"/>
                    <w:szCs w:val="16"/>
                    <w:lang w:eastAsia="es-ES"/>
                  </w:rPr>
                </w:pPr>
                <w:r w:rsidRPr="001B65A0">
                  <w:rPr>
                    <w:rFonts w:ascii="Arial" w:eastAsia="Times New Roman" w:hAnsi="Arial" w:cs="Arial"/>
                    <w:sz w:val="16"/>
                    <w:szCs w:val="16"/>
                    <w:lang w:eastAsia="es-ES"/>
                  </w:rPr>
                  <w:t>Nacidos vivos por cada mil habitantes.</w:t>
                </w:r>
              </w:p>
            </w:tc>
            <w:tc>
              <w:tcPr>
                <w:tcW w:w="1517"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 xml:space="preserve">Aragón </w:t>
                </w:r>
              </w:p>
            </w:tc>
            <w:tc>
              <w:tcPr>
                <w:tcW w:w="1443"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GAL</w:t>
                </w:r>
              </w:p>
            </w:tc>
            <w:tc>
              <w:tcPr>
                <w:tcW w:w="1353"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 xml:space="preserve">Aragón </w:t>
                </w:r>
              </w:p>
            </w:tc>
            <w:tc>
              <w:tcPr>
                <w:tcW w:w="1287"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GAL</w:t>
                </w:r>
              </w:p>
            </w:tc>
          </w:tr>
          <w:tr w:rsidR="001B65A0" w:rsidRPr="001B65A0" w:rsidTr="001B65A0">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B65A0" w:rsidRPr="001B65A0" w:rsidRDefault="001B65A0" w:rsidP="001B65A0">
                <w:pPr>
                  <w:rPr>
                    <w:rFonts w:ascii="Arial" w:eastAsia="Times New Roman" w:hAnsi="Arial" w:cs="Arial"/>
                    <w:sz w:val="16"/>
                    <w:szCs w:val="16"/>
                    <w:lang w:eastAsia="es-ES"/>
                  </w:rPr>
                </w:pPr>
                <w:r w:rsidRPr="001B65A0">
                  <w:rPr>
                    <w:rFonts w:ascii="Arial" w:eastAsia="Times New Roman" w:hAnsi="Arial" w:cs="Arial"/>
                    <w:sz w:val="16"/>
                    <w:szCs w:val="16"/>
                    <w:lang w:eastAsia="es-ES"/>
                  </w:rPr>
                  <w:t>Tasa Bruta de Natalidad (‰).</w:t>
                </w:r>
              </w:p>
            </w:tc>
            <w:tc>
              <w:tcPr>
                <w:tcW w:w="1517"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8,878</w:t>
                </w:r>
              </w:p>
            </w:tc>
            <w:tc>
              <w:tcPr>
                <w:tcW w:w="1443"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8,406</w:t>
                </w:r>
              </w:p>
            </w:tc>
            <w:tc>
              <w:tcPr>
                <w:tcW w:w="1353"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9,366</w:t>
                </w:r>
              </w:p>
            </w:tc>
            <w:tc>
              <w:tcPr>
                <w:tcW w:w="1287"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7,759</w:t>
                </w: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B65A0" w:rsidRPr="001B65A0" w:rsidRDefault="001B65A0" w:rsidP="001B65A0">
                <w:pPr>
                  <w:rPr>
                    <w:rFonts w:ascii="Calibri" w:eastAsia="Times New Roman" w:hAnsi="Calibri" w:cs="Times New Roman"/>
                    <w:color w:val="000000"/>
                    <w:lang w:eastAsia="es-ES"/>
                  </w:rPr>
                </w:pPr>
              </w:p>
            </w:tc>
            <w:tc>
              <w:tcPr>
                <w:tcW w:w="1517"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1B65A0" w:rsidRPr="001B65A0" w:rsidTr="001B65A0">
            <w:trPr>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rsidR="001B65A0" w:rsidRPr="001B65A0" w:rsidRDefault="001B65A0" w:rsidP="001B65A0">
                <w:pPr>
                  <w:rPr>
                    <w:rFonts w:ascii="Arial" w:eastAsia="Times New Roman" w:hAnsi="Arial" w:cs="Arial"/>
                    <w:sz w:val="16"/>
                    <w:szCs w:val="16"/>
                    <w:lang w:eastAsia="es-ES"/>
                  </w:rPr>
                </w:pPr>
                <w:r w:rsidRPr="001B65A0">
                  <w:rPr>
                    <w:rFonts w:ascii="Arial" w:eastAsia="Times New Roman" w:hAnsi="Arial" w:cs="Arial"/>
                    <w:sz w:val="16"/>
                    <w:szCs w:val="16"/>
                    <w:lang w:eastAsia="es-ES"/>
                  </w:rPr>
                  <w:t>Defunciones por cada mil habitantes.</w:t>
                </w:r>
              </w:p>
            </w:tc>
            <w:tc>
              <w:tcPr>
                <w:tcW w:w="1517"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 xml:space="preserve">Aragón </w:t>
                </w:r>
              </w:p>
            </w:tc>
            <w:tc>
              <w:tcPr>
                <w:tcW w:w="1443"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GAL</w:t>
                </w:r>
              </w:p>
            </w:tc>
            <w:tc>
              <w:tcPr>
                <w:tcW w:w="1353"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 xml:space="preserve">Aragón </w:t>
                </w:r>
              </w:p>
            </w:tc>
            <w:tc>
              <w:tcPr>
                <w:tcW w:w="1287"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GAL</w:t>
                </w: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B65A0" w:rsidRPr="001B65A0" w:rsidRDefault="001B65A0" w:rsidP="001B65A0">
                <w:pPr>
                  <w:rPr>
                    <w:rFonts w:ascii="Arial" w:eastAsia="Times New Roman" w:hAnsi="Arial" w:cs="Arial"/>
                    <w:sz w:val="16"/>
                    <w:szCs w:val="16"/>
                    <w:lang w:eastAsia="es-ES"/>
                  </w:rPr>
                </w:pPr>
                <w:r w:rsidRPr="001B65A0">
                  <w:rPr>
                    <w:rFonts w:ascii="Arial" w:eastAsia="Times New Roman" w:hAnsi="Arial" w:cs="Arial"/>
                    <w:sz w:val="16"/>
                    <w:szCs w:val="16"/>
                    <w:lang w:eastAsia="es-ES"/>
                  </w:rPr>
                  <w:t>Tasa Bruta de Mortalidad (‰).</w:t>
                </w:r>
              </w:p>
            </w:tc>
            <w:tc>
              <w:tcPr>
                <w:tcW w:w="1517"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10,170</w:t>
                </w:r>
              </w:p>
            </w:tc>
            <w:tc>
              <w:tcPr>
                <w:tcW w:w="1443"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10,702</w:t>
                </w:r>
              </w:p>
            </w:tc>
            <w:tc>
              <w:tcPr>
                <w:tcW w:w="1353"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10,067</w:t>
                </w:r>
              </w:p>
            </w:tc>
            <w:tc>
              <w:tcPr>
                <w:tcW w:w="1287"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12,740</w:t>
                </w:r>
              </w:p>
            </w:tc>
          </w:tr>
          <w:tr w:rsidR="001B65A0" w:rsidRPr="001B65A0" w:rsidTr="001B65A0">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B65A0" w:rsidRPr="001B65A0" w:rsidRDefault="001B65A0" w:rsidP="001B65A0">
                <w:pPr>
                  <w:rPr>
                    <w:rFonts w:ascii="Calibri" w:eastAsia="Times New Roman" w:hAnsi="Calibri" w:cs="Times New Roman"/>
                    <w:color w:val="000000"/>
                    <w:lang w:eastAsia="es-ES"/>
                  </w:rPr>
                </w:pPr>
              </w:p>
            </w:tc>
            <w:tc>
              <w:tcPr>
                <w:tcW w:w="1517"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00" w:type="dxa"/>
                <w:hideMark/>
              </w:tcPr>
              <w:p w:rsidR="001B65A0" w:rsidRPr="001B65A0" w:rsidRDefault="001B65A0" w:rsidP="001B65A0">
                <w:pPr>
                  <w:rPr>
                    <w:rFonts w:ascii="Arial" w:eastAsia="Times New Roman" w:hAnsi="Arial" w:cs="Arial"/>
                    <w:sz w:val="16"/>
                    <w:szCs w:val="16"/>
                    <w:lang w:eastAsia="es-ES"/>
                  </w:rPr>
                </w:pPr>
                <w:r w:rsidRPr="001B65A0">
                  <w:rPr>
                    <w:rFonts w:ascii="Arial" w:eastAsia="Times New Roman" w:hAnsi="Arial" w:cs="Arial"/>
                    <w:sz w:val="16"/>
                    <w:szCs w:val="16"/>
                    <w:lang w:eastAsia="es-ES"/>
                  </w:rPr>
                  <w:t>Saldo vegetativo (nacimientos menos defunciones) por cada mil habitantes.</w:t>
                </w:r>
              </w:p>
            </w:tc>
            <w:tc>
              <w:tcPr>
                <w:tcW w:w="1517"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 xml:space="preserve">Aragón </w:t>
                </w:r>
              </w:p>
            </w:tc>
            <w:tc>
              <w:tcPr>
                <w:tcW w:w="1443"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GAL</w:t>
                </w:r>
              </w:p>
            </w:tc>
            <w:tc>
              <w:tcPr>
                <w:tcW w:w="1353"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 xml:space="preserve">Aragón </w:t>
                </w:r>
              </w:p>
            </w:tc>
            <w:tc>
              <w:tcPr>
                <w:tcW w:w="1287"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GAL</w:t>
                </w:r>
              </w:p>
            </w:tc>
          </w:tr>
          <w:tr w:rsidR="001B65A0" w:rsidRPr="001B65A0" w:rsidTr="001B65A0">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B65A0" w:rsidRPr="001B65A0" w:rsidRDefault="001B65A0" w:rsidP="001B65A0">
                <w:pPr>
                  <w:rPr>
                    <w:rFonts w:ascii="Arial" w:eastAsia="Times New Roman" w:hAnsi="Arial" w:cs="Arial"/>
                    <w:sz w:val="16"/>
                    <w:szCs w:val="16"/>
                    <w:lang w:eastAsia="es-ES"/>
                  </w:rPr>
                </w:pPr>
                <w:r w:rsidRPr="001B65A0">
                  <w:rPr>
                    <w:rFonts w:ascii="Arial" w:eastAsia="Times New Roman" w:hAnsi="Arial" w:cs="Arial"/>
                    <w:sz w:val="16"/>
                    <w:szCs w:val="16"/>
                    <w:lang w:eastAsia="es-ES"/>
                  </w:rPr>
                  <w:t>Tasa Bruta de Crecimiento Vegetativo (‰)</w:t>
                </w:r>
              </w:p>
            </w:tc>
            <w:tc>
              <w:tcPr>
                <w:tcW w:w="1517"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-1,292</w:t>
                </w:r>
              </w:p>
            </w:tc>
            <w:tc>
              <w:tcPr>
                <w:tcW w:w="1443"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-2,296</w:t>
                </w:r>
              </w:p>
            </w:tc>
            <w:tc>
              <w:tcPr>
                <w:tcW w:w="1353"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-0,700</w:t>
                </w:r>
              </w:p>
            </w:tc>
            <w:tc>
              <w:tcPr>
                <w:tcW w:w="1287"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-4,982</w:t>
                </w: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B65A0" w:rsidRPr="001B65A0" w:rsidRDefault="001B65A0" w:rsidP="001B65A0">
                <w:pPr>
                  <w:rPr>
                    <w:rFonts w:ascii="Calibri" w:eastAsia="Times New Roman" w:hAnsi="Calibri" w:cs="Times New Roman"/>
                    <w:color w:val="000000"/>
                    <w:lang w:eastAsia="es-ES"/>
                  </w:rPr>
                </w:pPr>
              </w:p>
            </w:tc>
            <w:tc>
              <w:tcPr>
                <w:tcW w:w="1517" w:type="dxa"/>
                <w:noWrap/>
                <w:hideMark/>
              </w:tcPr>
              <w:p w:rsidR="001B65A0" w:rsidRPr="001B65A0" w:rsidRDefault="001B65A0" w:rsidP="001B65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1B65A0" w:rsidRPr="001B65A0" w:rsidRDefault="001B65A0" w:rsidP="001B65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1B65A0" w:rsidRPr="001B65A0" w:rsidRDefault="001B65A0" w:rsidP="001B65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1B65A0" w:rsidRPr="001B65A0" w:rsidRDefault="001B65A0" w:rsidP="001B65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1B65A0" w:rsidRPr="001B65A0" w:rsidTr="001B65A0">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B65A0" w:rsidRPr="001B65A0" w:rsidRDefault="001B65A0" w:rsidP="001B65A0">
                <w:pPr>
                  <w:rPr>
                    <w:rFonts w:ascii="Arial" w:eastAsia="Times New Roman" w:hAnsi="Arial" w:cs="Arial"/>
                    <w:sz w:val="16"/>
                    <w:szCs w:val="16"/>
                    <w:lang w:eastAsia="es-ES"/>
                  </w:rPr>
                </w:pPr>
                <w:r w:rsidRPr="001B65A0">
                  <w:rPr>
                    <w:rFonts w:ascii="Arial" w:eastAsia="Times New Roman" w:hAnsi="Arial" w:cs="Arial"/>
                    <w:sz w:val="16"/>
                    <w:szCs w:val="16"/>
                    <w:lang w:eastAsia="es-ES"/>
                  </w:rPr>
                  <w:t>Matrimonios por cada mil habitantes.</w:t>
                </w:r>
              </w:p>
            </w:tc>
            <w:tc>
              <w:tcPr>
                <w:tcW w:w="1517"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 xml:space="preserve">Aragón </w:t>
                </w:r>
              </w:p>
            </w:tc>
            <w:tc>
              <w:tcPr>
                <w:tcW w:w="1443"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GAL</w:t>
                </w:r>
              </w:p>
            </w:tc>
            <w:tc>
              <w:tcPr>
                <w:tcW w:w="1353"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 xml:space="preserve">Aragón </w:t>
                </w:r>
              </w:p>
            </w:tc>
            <w:tc>
              <w:tcPr>
                <w:tcW w:w="1287" w:type="dxa"/>
                <w:noWrap/>
                <w:hideMark/>
              </w:tcPr>
              <w:p w:rsidR="001B65A0" w:rsidRPr="001B65A0" w:rsidRDefault="001B65A0" w:rsidP="001B65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GAL</w:t>
                </w:r>
              </w:p>
            </w:tc>
          </w:tr>
          <w:tr w:rsidR="001B65A0" w:rsidRPr="001B65A0" w:rsidTr="001B65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B65A0" w:rsidRPr="001B65A0" w:rsidRDefault="001B65A0" w:rsidP="001B65A0">
                <w:pPr>
                  <w:rPr>
                    <w:rFonts w:ascii="Arial" w:eastAsia="Times New Roman" w:hAnsi="Arial" w:cs="Arial"/>
                    <w:sz w:val="16"/>
                    <w:szCs w:val="16"/>
                    <w:lang w:eastAsia="es-ES"/>
                  </w:rPr>
                </w:pPr>
                <w:r w:rsidRPr="001B65A0">
                  <w:rPr>
                    <w:rFonts w:ascii="Arial" w:eastAsia="Times New Roman" w:hAnsi="Arial" w:cs="Arial"/>
                    <w:sz w:val="16"/>
                    <w:szCs w:val="16"/>
                    <w:lang w:eastAsia="es-ES"/>
                  </w:rPr>
                  <w:t>Tasa Bruta de Nupcialidad (‰).</w:t>
                </w:r>
              </w:p>
            </w:tc>
            <w:tc>
              <w:tcPr>
                <w:tcW w:w="1517"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3,492</w:t>
                </w:r>
              </w:p>
            </w:tc>
            <w:tc>
              <w:tcPr>
                <w:tcW w:w="1443"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2,419</w:t>
                </w:r>
              </w:p>
            </w:tc>
            <w:tc>
              <w:tcPr>
                <w:tcW w:w="1353"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3,205</w:t>
                </w:r>
              </w:p>
            </w:tc>
            <w:tc>
              <w:tcPr>
                <w:tcW w:w="1287" w:type="dxa"/>
                <w:noWrap/>
                <w:hideMark/>
              </w:tcPr>
              <w:p w:rsidR="001B65A0" w:rsidRPr="001B65A0" w:rsidRDefault="001B65A0" w:rsidP="001B65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B65A0">
                  <w:rPr>
                    <w:rFonts w:ascii="Calibri" w:eastAsia="Times New Roman" w:hAnsi="Calibri" w:cs="Times New Roman"/>
                    <w:color w:val="000000"/>
                    <w:lang w:eastAsia="es-ES"/>
                  </w:rPr>
                  <w:t>2,246</w:t>
                </w:r>
              </w:p>
            </w:tc>
          </w:tr>
        </w:tbl>
        <w:p w:rsidR="00B50C23" w:rsidRDefault="00B50C23" w:rsidP="00DA6CCE">
          <w:pPr>
            <w:jc w:val="both"/>
            <w:rPr>
              <w:b/>
            </w:rPr>
          </w:pPr>
        </w:p>
        <w:p w:rsidR="00B50C23" w:rsidRDefault="00B50C23" w:rsidP="00DA6CCE">
          <w:pPr>
            <w:pStyle w:val="Prrafodelista"/>
            <w:numPr>
              <w:ilvl w:val="0"/>
              <w:numId w:val="1"/>
            </w:numPr>
            <w:jc w:val="both"/>
            <w:rPr>
              <w:b/>
              <w:sz w:val="24"/>
              <w:szCs w:val="24"/>
            </w:rPr>
          </w:pPr>
          <w:r w:rsidRPr="00B50C23">
            <w:rPr>
              <w:b/>
              <w:sz w:val="24"/>
              <w:szCs w:val="24"/>
            </w:rPr>
            <w:t>Movimientos de población según cambio de residencia:</w:t>
          </w:r>
        </w:p>
        <w:p w:rsidR="00AF7330" w:rsidRPr="00106908" w:rsidRDefault="001B65A0" w:rsidP="00190C45">
          <w:pPr>
            <w:pStyle w:val="Prrafodelista"/>
            <w:jc w:val="center"/>
            <w:rPr>
              <w:b/>
              <w:sz w:val="24"/>
              <w:szCs w:val="24"/>
            </w:rPr>
          </w:pPr>
          <w:r>
            <w:rPr>
              <w:noProof/>
              <w:lang w:eastAsia="es-ES"/>
            </w:rPr>
            <w:drawing>
              <wp:inline distT="0" distB="0" distL="0" distR="0" wp14:anchorId="5B6D0712" wp14:editId="00B519B4">
                <wp:extent cx="4959190" cy="2489200"/>
                <wp:effectExtent l="0" t="0" r="13335" b="2540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7330" w:rsidRPr="00EE4D4D" w:rsidRDefault="00AF7330" w:rsidP="00DA6CCE">
          <w:pPr>
            <w:pStyle w:val="Prrafodelista"/>
            <w:jc w:val="both"/>
            <w:rPr>
              <w:b/>
              <w:sz w:val="24"/>
              <w:szCs w:val="24"/>
            </w:rPr>
          </w:pPr>
        </w:p>
        <w:p w:rsidR="00E87CD9" w:rsidRDefault="00E87CD9" w:rsidP="00DA6CCE">
          <w:pPr>
            <w:pStyle w:val="Prrafodelista"/>
            <w:numPr>
              <w:ilvl w:val="0"/>
              <w:numId w:val="1"/>
            </w:numPr>
            <w:jc w:val="both"/>
            <w:rPr>
              <w:b/>
              <w:sz w:val="24"/>
              <w:szCs w:val="24"/>
            </w:rPr>
          </w:pPr>
          <w:r w:rsidRPr="00E87CD9">
            <w:rPr>
              <w:b/>
              <w:sz w:val="24"/>
              <w:szCs w:val="24"/>
            </w:rPr>
            <w:t>Porcentaje de llegada de hombres y mujeres extranjeros:</w:t>
          </w:r>
        </w:p>
        <w:p w:rsidR="00E87CD9" w:rsidRPr="00E87CD9" w:rsidRDefault="00E87CD9" w:rsidP="00DA6CCE">
          <w:pPr>
            <w:pStyle w:val="Prrafodelista"/>
            <w:jc w:val="both"/>
            <w:rPr>
              <w:b/>
              <w:sz w:val="24"/>
              <w:szCs w:val="24"/>
            </w:rPr>
          </w:pPr>
        </w:p>
        <w:p w:rsidR="00E87CD9" w:rsidRDefault="001B65A0" w:rsidP="00106908">
          <w:pPr>
            <w:pStyle w:val="Prrafodelista"/>
            <w:ind w:left="142" w:right="-568"/>
            <w:jc w:val="both"/>
            <w:rPr>
              <w:b/>
              <w:sz w:val="24"/>
              <w:szCs w:val="24"/>
            </w:rPr>
          </w:pPr>
          <w:r>
            <w:rPr>
              <w:b/>
              <w:noProof/>
              <w:sz w:val="24"/>
              <w:szCs w:val="24"/>
              <w:lang w:eastAsia="es-ES"/>
            </w:rPr>
            <w:drawing>
              <wp:inline distT="0" distB="0" distL="0" distR="0" wp14:anchorId="3EA7D1E7" wp14:editId="472C57A5">
                <wp:extent cx="2702560" cy="1584960"/>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2560" cy="1584960"/>
                        </a:xfrm>
                        <a:prstGeom prst="rect">
                          <a:avLst/>
                        </a:prstGeom>
                        <a:noFill/>
                      </pic:spPr>
                    </pic:pic>
                  </a:graphicData>
                </a:graphic>
              </wp:inline>
            </w:drawing>
          </w:r>
          <w:r>
            <w:rPr>
              <w:b/>
              <w:noProof/>
              <w:sz w:val="24"/>
              <w:szCs w:val="24"/>
              <w:lang w:eastAsia="es-ES"/>
            </w:rPr>
            <w:drawing>
              <wp:inline distT="0" distB="0" distL="0" distR="0" wp14:anchorId="0B2B3A3F" wp14:editId="14664C8B">
                <wp:extent cx="2702560" cy="1584674"/>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362" cy="1586317"/>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BB47F5" w:rsidRPr="00CE7E55" w:rsidRDefault="00BB47F5" w:rsidP="00CE7E55">
          <w:pPr>
            <w:jc w:val="both"/>
            <w:rPr>
              <w:b/>
              <w:sz w:val="24"/>
              <w:szCs w:val="24"/>
            </w:rPr>
          </w:pPr>
        </w:p>
        <w:p w:rsidR="00974B32" w:rsidRDefault="00974B32" w:rsidP="00DA6CCE">
          <w:pPr>
            <w:pStyle w:val="Prrafodelista"/>
            <w:jc w:val="both"/>
            <w:rPr>
              <w:b/>
              <w:sz w:val="24"/>
              <w:szCs w:val="24"/>
            </w:rPr>
          </w:pPr>
          <w:r>
            <w:rPr>
              <w:b/>
              <w:noProof/>
              <w:sz w:val="24"/>
              <w:szCs w:val="24"/>
              <w:lang w:eastAsia="es-ES"/>
            </w:rPr>
            <w:lastRenderedPageBreak/>
            <mc:AlternateContent>
              <mc:Choice Requires="wps">
                <w:drawing>
                  <wp:anchor distT="0" distB="0" distL="114300" distR="114300" simplePos="0" relativeHeight="251662336" behindDoc="0" locked="0" layoutInCell="1" allowOverlap="1" wp14:anchorId="3393392D" wp14:editId="32055488">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7"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Default="00D340F6" w:rsidP="00DA6CCE">
          <w:pPr>
            <w:pStyle w:val="Prrafodelista"/>
            <w:tabs>
              <w:tab w:val="left" w:pos="3456"/>
            </w:tabs>
            <w:ind w:left="284"/>
            <w:jc w:val="both"/>
            <w:rPr>
              <w:b/>
            </w:rPr>
          </w:pPr>
          <w:r>
            <w:rPr>
              <w:noProof/>
              <w:lang w:eastAsia="es-ES"/>
            </w:rPr>
            <w:drawing>
              <wp:inline distT="0" distB="0" distL="0" distR="0" wp14:anchorId="1188AF70" wp14:editId="43BF20D9">
                <wp:extent cx="5557520" cy="3149600"/>
                <wp:effectExtent l="0" t="0" r="24130" b="127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8A7" w:rsidRPr="00EC5221" w:rsidRDefault="002748A7" w:rsidP="00DA6CCE">
          <w:pPr>
            <w:pStyle w:val="Prrafodelista"/>
            <w:tabs>
              <w:tab w:val="left" w:pos="3456"/>
            </w:tabs>
            <w:ind w:left="284"/>
            <w:jc w:val="both"/>
            <w:rPr>
              <w:b/>
            </w:rPr>
          </w:pPr>
        </w:p>
        <w:p w:rsidR="007A3D6C" w:rsidRPr="002748A7" w:rsidRDefault="007A3D6C" w:rsidP="002748A7">
          <w:pPr>
            <w:pStyle w:val="Prrafodelista"/>
            <w:numPr>
              <w:ilvl w:val="0"/>
              <w:numId w:val="1"/>
            </w:numPr>
            <w:tabs>
              <w:tab w:val="left" w:pos="3456"/>
            </w:tabs>
            <w:jc w:val="both"/>
            <w:rPr>
              <w:b/>
            </w:rPr>
          </w:pPr>
          <w:r>
            <w:rPr>
              <w:b/>
            </w:rPr>
            <w:t>Evolución de las actividades económicas durante el periodo 2011-2012:</w:t>
          </w:r>
        </w:p>
        <w:p w:rsidR="008222AC" w:rsidRDefault="008222AC" w:rsidP="00DA6CCE">
          <w:pPr>
            <w:pStyle w:val="Prrafodelista"/>
            <w:tabs>
              <w:tab w:val="left" w:pos="3456"/>
            </w:tabs>
            <w:jc w:val="both"/>
            <w:rPr>
              <w:b/>
            </w:rPr>
          </w:pPr>
        </w:p>
        <w:p w:rsidR="008222AC" w:rsidRDefault="00D340F6" w:rsidP="002748A7">
          <w:pPr>
            <w:pStyle w:val="Prrafodelista"/>
            <w:tabs>
              <w:tab w:val="left" w:pos="3456"/>
            </w:tabs>
            <w:ind w:left="284"/>
            <w:jc w:val="both"/>
            <w:rPr>
              <w:b/>
            </w:rPr>
          </w:pPr>
          <w:r>
            <w:rPr>
              <w:noProof/>
              <w:lang w:eastAsia="es-ES"/>
            </w:rPr>
            <w:drawing>
              <wp:inline distT="0" distB="0" distL="0" distR="0" wp14:anchorId="165BF169" wp14:editId="6049150C">
                <wp:extent cx="5630980" cy="3210560"/>
                <wp:effectExtent l="0" t="0" r="27305" b="2794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74D8" w:rsidRPr="002748A7" w:rsidRDefault="008274D8" w:rsidP="002748A7">
          <w:pPr>
            <w:pStyle w:val="Prrafodelista"/>
            <w:tabs>
              <w:tab w:val="left" w:pos="3456"/>
            </w:tabs>
            <w:ind w:left="284"/>
            <w:jc w:val="both"/>
            <w:rPr>
              <w:b/>
            </w:rPr>
          </w:pPr>
        </w:p>
        <w:p w:rsidR="00A84D47" w:rsidRDefault="00A84D47" w:rsidP="00DA6CCE">
          <w:pPr>
            <w:pStyle w:val="Prrafodelista"/>
            <w:tabs>
              <w:tab w:val="left" w:pos="3456"/>
            </w:tabs>
            <w:jc w:val="both"/>
            <w:rPr>
              <w:b/>
            </w:rPr>
          </w:pPr>
        </w:p>
        <w:p w:rsidR="009E04F8" w:rsidRDefault="009E04F8" w:rsidP="00DA6CCE">
          <w:pPr>
            <w:pStyle w:val="Prrafodelista"/>
            <w:tabs>
              <w:tab w:val="left" w:pos="3456"/>
            </w:tabs>
            <w:jc w:val="both"/>
            <w:rPr>
              <w:b/>
            </w:rPr>
          </w:pPr>
        </w:p>
        <w:p w:rsidR="00055955" w:rsidRDefault="00055955" w:rsidP="00DA6CCE">
          <w:pPr>
            <w:pStyle w:val="Prrafodelista"/>
            <w:tabs>
              <w:tab w:val="left" w:pos="3456"/>
            </w:tabs>
            <w:jc w:val="both"/>
            <w:rPr>
              <w:b/>
            </w:rPr>
          </w:pPr>
        </w:p>
        <w:p w:rsidR="00055955" w:rsidRDefault="00055955"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lastRenderedPageBreak/>
            <w:t xml:space="preserve">Estructura de altas en la seguridad social por sexo y grupos de edad (Septiembre 2014) </w:t>
          </w:r>
        </w:p>
        <w:p w:rsidR="00A84D47" w:rsidRDefault="00D340F6" w:rsidP="00DA6CCE">
          <w:pPr>
            <w:pStyle w:val="Prrafodelista"/>
            <w:tabs>
              <w:tab w:val="left" w:pos="3456"/>
            </w:tabs>
            <w:ind w:left="0"/>
            <w:jc w:val="both"/>
            <w:rPr>
              <w:b/>
            </w:rPr>
          </w:pPr>
          <w:r>
            <w:rPr>
              <w:noProof/>
              <w:lang w:eastAsia="es-ES"/>
            </w:rPr>
            <w:drawing>
              <wp:inline distT="0" distB="0" distL="0" distR="0" wp14:anchorId="6EB94745" wp14:editId="54F02112">
                <wp:extent cx="5811520" cy="3352800"/>
                <wp:effectExtent l="0" t="0" r="17780" b="1905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C6659C" w:rsidP="00DA6CCE">
          <w:pPr>
            <w:pStyle w:val="Prrafodelista"/>
            <w:tabs>
              <w:tab w:val="left" w:pos="3456"/>
            </w:tabs>
            <w:ind w:left="0"/>
            <w:jc w:val="both"/>
            <w:rPr>
              <w:b/>
            </w:rPr>
          </w:pPr>
          <w:r>
            <w:rPr>
              <w:noProof/>
              <w:lang w:eastAsia="es-ES"/>
            </w:rPr>
            <w:drawing>
              <wp:inline distT="0" distB="0" distL="0" distR="0" wp14:anchorId="1B3184E3" wp14:editId="55C3A7AB">
                <wp:extent cx="5872480" cy="3759200"/>
                <wp:effectExtent l="0" t="0" r="13970" b="1270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287406" w:rsidRDefault="00287406" w:rsidP="00DA6CCE">
          <w:pPr>
            <w:pStyle w:val="Prrafodelista"/>
            <w:tabs>
              <w:tab w:val="left" w:pos="3456"/>
            </w:tabs>
            <w:ind w:left="0"/>
            <w:jc w:val="both"/>
            <w:rPr>
              <w:b/>
            </w:rPr>
          </w:pPr>
        </w:p>
        <w:p w:rsidR="00287406" w:rsidRDefault="00287406"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4D6DE4" w:rsidP="00DA6CCE">
          <w:pPr>
            <w:pStyle w:val="Prrafodelista"/>
            <w:tabs>
              <w:tab w:val="left" w:pos="3456"/>
            </w:tabs>
            <w:ind w:left="0"/>
            <w:jc w:val="both"/>
            <w:rPr>
              <w:b/>
            </w:rPr>
          </w:pPr>
          <w:r>
            <w:rPr>
              <w:noProof/>
              <w:lang w:eastAsia="es-ES"/>
            </w:rPr>
            <w:drawing>
              <wp:inline distT="0" distB="0" distL="0" distR="0" wp14:anchorId="4E043598" wp14:editId="1288E655">
                <wp:extent cx="5811520" cy="3596640"/>
                <wp:effectExtent l="0" t="0" r="17780" b="2286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9E04F8" w:rsidRPr="00001DA8" w:rsidRDefault="009E04F8" w:rsidP="009E04F8">
          <w:pPr>
            <w:pStyle w:val="Prrafodelista"/>
            <w:jc w:val="both"/>
            <w:rPr>
              <w:b/>
            </w:rPr>
          </w:pPr>
        </w:p>
        <w:p w:rsidR="00746BD5" w:rsidRDefault="00C6659C" w:rsidP="00695C58">
          <w:pPr>
            <w:pStyle w:val="Prrafodelista"/>
            <w:tabs>
              <w:tab w:val="left" w:pos="3456"/>
            </w:tabs>
            <w:ind w:left="0"/>
            <w:jc w:val="both"/>
            <w:rPr>
              <w:b/>
            </w:rPr>
          </w:pPr>
          <w:r>
            <w:rPr>
              <w:noProof/>
              <w:lang w:eastAsia="es-ES"/>
            </w:rPr>
            <w:drawing>
              <wp:inline distT="0" distB="0" distL="0" distR="0" wp14:anchorId="28F903C0" wp14:editId="7411B16B">
                <wp:extent cx="5811520" cy="3901440"/>
                <wp:effectExtent l="0" t="0" r="17780" b="2286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A5C6C" w:rsidRPr="00565BB1" w:rsidRDefault="00BA5C6C" w:rsidP="00695C58">
          <w:pPr>
            <w:pStyle w:val="Prrafodelista"/>
            <w:tabs>
              <w:tab w:val="left" w:pos="3456"/>
            </w:tabs>
            <w:ind w:left="0"/>
            <w:jc w:val="both"/>
            <w:rPr>
              <w:b/>
            </w:rPr>
          </w:pPr>
        </w:p>
        <w:p w:rsidR="00D16764" w:rsidRPr="00AF7330" w:rsidRDefault="00565BB1" w:rsidP="00DA6CCE">
          <w:pPr>
            <w:pStyle w:val="Prrafodelista"/>
            <w:numPr>
              <w:ilvl w:val="0"/>
              <w:numId w:val="1"/>
            </w:numPr>
            <w:tabs>
              <w:tab w:val="left" w:pos="3456"/>
            </w:tabs>
            <w:jc w:val="both"/>
            <w:rPr>
              <w:b/>
            </w:rPr>
          </w:pPr>
          <w:r w:rsidRPr="009257EF">
            <w:rPr>
              <w:b/>
            </w:rPr>
            <w:t xml:space="preserve"> </w:t>
          </w:r>
          <w:r w:rsidR="00746BD5" w:rsidRPr="009257EF">
            <w:rPr>
              <w:b/>
            </w:rPr>
            <w:t>Promedio de las fuentes tributarias que ex</w:t>
          </w:r>
          <w:r w:rsidR="007D0875">
            <w:rPr>
              <w:b/>
            </w:rPr>
            <w:t>isten de cada tipo en el grupo CEDEMAR</w:t>
          </w:r>
          <w:r w:rsidR="00AF7330">
            <w:rPr>
              <w:b/>
            </w:rPr>
            <w:t xml:space="preserve"> </w:t>
          </w:r>
          <w:r w:rsidR="00AF7330" w:rsidRPr="00AF7330">
            <w:rPr>
              <w:b/>
            </w:rPr>
            <w:t>(2010).</w:t>
          </w:r>
        </w:p>
        <w:tbl>
          <w:tblPr>
            <w:tblStyle w:val="Sombreadoclaro-nfasis4"/>
            <w:tblpPr w:leftFromText="141" w:rightFromText="141" w:vertAnchor="text" w:horzAnchor="margin" w:tblpXSpec="center" w:tblpY="337"/>
            <w:tblW w:w="8795" w:type="dxa"/>
            <w:tblLook w:val="04A0" w:firstRow="1" w:lastRow="0" w:firstColumn="1" w:lastColumn="0" w:noHBand="0" w:noVBand="1"/>
          </w:tblPr>
          <w:tblGrid>
            <w:gridCol w:w="1388"/>
            <w:gridCol w:w="1996"/>
            <w:gridCol w:w="2183"/>
            <w:gridCol w:w="2261"/>
            <w:gridCol w:w="967"/>
          </w:tblGrid>
          <w:tr w:rsidR="00C6659C" w:rsidRPr="00C6659C" w:rsidTr="00C6659C">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88" w:type="dxa"/>
                <w:vMerge w:val="restart"/>
                <w:noWrap/>
                <w:hideMark/>
              </w:tcPr>
              <w:p w:rsidR="00C6659C" w:rsidRPr="00C6659C" w:rsidRDefault="00C6659C" w:rsidP="00E61457">
                <w:pPr>
                  <w:rPr>
                    <w:rFonts w:ascii="Calibri" w:eastAsia="Times New Roman" w:hAnsi="Calibri" w:cs="Times New Roman"/>
                    <w:color w:val="000000"/>
                    <w:lang w:eastAsia="es-ES"/>
                  </w:rPr>
                </w:pPr>
                <w:r w:rsidRPr="00C6659C">
                  <w:rPr>
                    <w:rFonts w:ascii="Calibri" w:eastAsia="Times New Roman" w:hAnsi="Calibri" w:cs="Times New Roman"/>
                    <w:color w:val="000000"/>
                    <w:lang w:eastAsia="es-ES"/>
                  </w:rPr>
                  <w:t>CEDEMAR</w:t>
                </w:r>
              </w:p>
            </w:tc>
            <w:tc>
              <w:tcPr>
                <w:tcW w:w="1996" w:type="dxa"/>
                <w:noWrap/>
                <w:hideMark/>
              </w:tcPr>
              <w:p w:rsidR="00C6659C" w:rsidRPr="00C6659C" w:rsidRDefault="00C6659C" w:rsidP="001401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6659C">
                  <w:rPr>
                    <w:rFonts w:ascii="Calibri" w:eastAsia="Times New Roman" w:hAnsi="Calibri" w:cs="Times New Roman"/>
                    <w:color w:val="000000"/>
                    <w:lang w:eastAsia="es-ES"/>
                  </w:rPr>
                  <w:t>Total percepciones salarios</w:t>
                </w:r>
              </w:p>
            </w:tc>
            <w:tc>
              <w:tcPr>
                <w:tcW w:w="2183" w:type="dxa"/>
                <w:noWrap/>
                <w:hideMark/>
              </w:tcPr>
              <w:p w:rsidR="00C6659C" w:rsidRPr="00C6659C" w:rsidRDefault="00C6659C" w:rsidP="001401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6659C">
                  <w:rPr>
                    <w:rFonts w:ascii="Calibri" w:eastAsia="Times New Roman" w:hAnsi="Calibri" w:cs="Times New Roman"/>
                    <w:color w:val="000000"/>
                    <w:lang w:eastAsia="es-ES"/>
                  </w:rPr>
                  <w:t>Total Percepciones pensiones</w:t>
                </w:r>
              </w:p>
            </w:tc>
            <w:tc>
              <w:tcPr>
                <w:tcW w:w="2261" w:type="dxa"/>
                <w:noWrap/>
                <w:hideMark/>
              </w:tcPr>
              <w:p w:rsidR="00C6659C" w:rsidRPr="00C6659C" w:rsidRDefault="00C6659C" w:rsidP="001401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6659C">
                  <w:rPr>
                    <w:rFonts w:ascii="Calibri" w:eastAsia="Times New Roman" w:hAnsi="Calibri" w:cs="Times New Roman"/>
                    <w:color w:val="000000"/>
                    <w:lang w:eastAsia="es-ES"/>
                  </w:rPr>
                  <w:t>Total Percepciones desempleo</w:t>
                </w:r>
              </w:p>
            </w:tc>
            <w:tc>
              <w:tcPr>
                <w:tcW w:w="967" w:type="dxa"/>
                <w:noWrap/>
                <w:hideMark/>
              </w:tcPr>
              <w:p w:rsidR="00C6659C" w:rsidRPr="00C6659C" w:rsidRDefault="00C6659C" w:rsidP="001401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6659C">
                  <w:rPr>
                    <w:rFonts w:ascii="Calibri" w:eastAsia="Times New Roman" w:hAnsi="Calibri" w:cs="Times New Roman"/>
                    <w:bCs w:val="0"/>
                    <w:color w:val="000000"/>
                    <w:lang w:eastAsia="es-ES"/>
                  </w:rPr>
                  <w:t>Padró</w:t>
                </w:r>
                <w:r w:rsidRPr="00C6659C">
                  <w:rPr>
                    <w:rFonts w:ascii="Calibri" w:eastAsia="Times New Roman" w:hAnsi="Calibri" w:cs="Times New Roman"/>
                    <w:color w:val="000000"/>
                    <w:lang w:eastAsia="es-ES"/>
                  </w:rPr>
                  <w:t>n total</w:t>
                </w:r>
              </w:p>
            </w:tc>
          </w:tr>
          <w:tr w:rsidR="00C6659C" w:rsidRPr="00C6659C" w:rsidTr="00C6659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88" w:type="dxa"/>
                <w:vMerge/>
                <w:noWrap/>
                <w:hideMark/>
              </w:tcPr>
              <w:p w:rsidR="00C6659C" w:rsidRPr="00C6659C" w:rsidRDefault="00C6659C" w:rsidP="00C6659C">
                <w:pPr>
                  <w:rPr>
                    <w:rFonts w:ascii="Calibri" w:eastAsia="Times New Roman" w:hAnsi="Calibri" w:cs="Times New Roman"/>
                    <w:color w:val="000000"/>
                    <w:lang w:eastAsia="es-ES"/>
                  </w:rPr>
                </w:pPr>
              </w:p>
            </w:tc>
            <w:tc>
              <w:tcPr>
                <w:tcW w:w="1996" w:type="dxa"/>
                <w:noWrap/>
                <w:hideMark/>
              </w:tcPr>
              <w:p w:rsidR="00C6659C" w:rsidRPr="00C6659C" w:rsidRDefault="00C6659C" w:rsidP="001401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C6659C">
                  <w:rPr>
                    <w:rFonts w:ascii="Calibri" w:eastAsia="Times New Roman" w:hAnsi="Calibri" w:cs="Times New Roman"/>
                    <w:b/>
                    <w:bCs/>
                    <w:color w:val="000000"/>
                    <w:lang w:eastAsia="es-ES"/>
                  </w:rPr>
                  <w:t>12932</w:t>
                </w:r>
              </w:p>
            </w:tc>
            <w:tc>
              <w:tcPr>
                <w:tcW w:w="2183" w:type="dxa"/>
                <w:noWrap/>
                <w:hideMark/>
              </w:tcPr>
              <w:p w:rsidR="00C6659C" w:rsidRPr="00C6659C" w:rsidRDefault="00C6659C" w:rsidP="001401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C6659C">
                  <w:rPr>
                    <w:rFonts w:ascii="Calibri" w:eastAsia="Times New Roman" w:hAnsi="Calibri" w:cs="Times New Roman"/>
                    <w:b/>
                    <w:bCs/>
                    <w:color w:val="000000"/>
                    <w:lang w:eastAsia="es-ES"/>
                  </w:rPr>
                  <w:t>6663</w:t>
                </w:r>
              </w:p>
            </w:tc>
            <w:tc>
              <w:tcPr>
                <w:tcW w:w="2261" w:type="dxa"/>
                <w:noWrap/>
                <w:hideMark/>
              </w:tcPr>
              <w:p w:rsidR="00C6659C" w:rsidRPr="00C6659C" w:rsidRDefault="00C6659C" w:rsidP="001401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C6659C">
                  <w:rPr>
                    <w:rFonts w:ascii="Calibri" w:eastAsia="Times New Roman" w:hAnsi="Calibri" w:cs="Times New Roman"/>
                    <w:b/>
                    <w:bCs/>
                    <w:color w:val="000000"/>
                    <w:lang w:eastAsia="es-ES"/>
                  </w:rPr>
                  <w:t>3146</w:t>
                </w:r>
              </w:p>
            </w:tc>
            <w:tc>
              <w:tcPr>
                <w:tcW w:w="967" w:type="dxa"/>
                <w:noWrap/>
                <w:hideMark/>
              </w:tcPr>
              <w:p w:rsidR="00C6659C" w:rsidRPr="00C6659C" w:rsidRDefault="00C6659C" w:rsidP="001401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C6659C">
                  <w:rPr>
                    <w:rFonts w:ascii="Calibri" w:eastAsia="Times New Roman" w:hAnsi="Calibri" w:cs="Times New Roman"/>
                    <w:b/>
                    <w:bCs/>
                    <w:color w:val="000000"/>
                    <w:lang w:eastAsia="es-ES"/>
                  </w:rPr>
                  <w:t>24231</w:t>
                </w:r>
              </w:p>
            </w:tc>
          </w:tr>
        </w:tbl>
        <w:p w:rsidR="00746BD5" w:rsidRDefault="00746BD5" w:rsidP="00DA6CCE">
          <w:pPr>
            <w:pStyle w:val="Prrafodelista"/>
            <w:tabs>
              <w:tab w:val="left" w:pos="3456"/>
            </w:tabs>
            <w:jc w:val="both"/>
            <w:rPr>
              <w:b/>
            </w:rPr>
          </w:pPr>
        </w:p>
        <w:p w:rsidR="00746BD5" w:rsidRDefault="00746BD5" w:rsidP="00DA6CCE">
          <w:pPr>
            <w:pStyle w:val="Prrafodelista"/>
            <w:tabs>
              <w:tab w:val="left" w:pos="3456"/>
            </w:tabs>
            <w:jc w:val="both"/>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286C91" w:rsidRDefault="00286C91" w:rsidP="00DA6CCE">
          <w:pPr>
            <w:pStyle w:val="Prrafodelista"/>
            <w:tabs>
              <w:tab w:val="left" w:pos="3456"/>
            </w:tabs>
            <w:ind w:left="284"/>
            <w:jc w:val="both"/>
            <w:rPr>
              <w:b/>
            </w:rPr>
          </w:pPr>
        </w:p>
        <w:p w:rsidR="00B8002C" w:rsidRPr="00CE7E55" w:rsidRDefault="00B8002C" w:rsidP="00CE7E55">
          <w:pPr>
            <w:tabs>
              <w:tab w:val="left" w:pos="3456"/>
            </w:tabs>
            <w:jc w:val="both"/>
            <w:rPr>
              <w:b/>
            </w:rPr>
          </w:pPr>
        </w:p>
        <w:p w:rsidR="003D4E91" w:rsidRDefault="003D4E91" w:rsidP="00DA6CCE">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 xml:space="preserve">siendo el Grupo de </w:t>
          </w:r>
          <w:r w:rsidR="00286C91">
            <w:t xml:space="preserve">Acción Local </w:t>
          </w:r>
          <w:r w:rsidR="00F916A3">
            <w:t>CEDEMAR.</w:t>
          </w:r>
        </w:p>
        <w:p w:rsidR="00D139A2" w:rsidRDefault="00D139A2" w:rsidP="00DA6CCE">
          <w:pPr>
            <w:pStyle w:val="Prrafodelista"/>
            <w:tabs>
              <w:tab w:val="left" w:pos="3456"/>
            </w:tabs>
            <w:ind w:left="284"/>
            <w:jc w:val="both"/>
          </w:pPr>
          <w:r>
            <w:tab/>
          </w:r>
        </w:p>
        <w:p w:rsidR="00D139A2" w:rsidRDefault="00D139A2" w:rsidP="00DA6CCE">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Default="003D4E91" w:rsidP="00DA6CCE">
          <w:pPr>
            <w:pStyle w:val="Prrafodelista"/>
            <w:tabs>
              <w:tab w:val="left" w:pos="3456"/>
            </w:tabs>
            <w:ind w:left="284"/>
            <w:jc w:val="both"/>
          </w:pPr>
        </w:p>
        <w:p w:rsidR="003D4E91" w:rsidRDefault="003D4E91" w:rsidP="00DA6CCE">
          <w:pPr>
            <w:pStyle w:val="Prrafodelista"/>
            <w:tabs>
              <w:tab w:val="left" w:pos="3456"/>
            </w:tabs>
            <w:ind w:left="284"/>
            <w:jc w:val="both"/>
          </w:pPr>
          <w:r>
            <w:t xml:space="preserve">            Como vemos se trata de un grupo </w:t>
          </w:r>
          <w:r w:rsidR="00924E6A">
            <w:t>formado por la</w:t>
          </w:r>
          <w:r w:rsidR="00286C91">
            <w:t xml:space="preserve"> agrupación de comarcas de</w:t>
          </w:r>
          <w:r w:rsidR="00F916A3">
            <w:t xml:space="preserve"> la Ribera Baja del Ebro y Bajo Aragón Caspe</w:t>
          </w:r>
          <w:r w:rsidR="00286C91">
            <w:t xml:space="preserve"> </w:t>
          </w:r>
          <w:r w:rsidR="009508AE">
            <w:t xml:space="preserve"> </w:t>
          </w:r>
          <w:r w:rsidR="00924E6A">
            <w:t>y engloba un total de</w:t>
          </w:r>
          <w:r w:rsidR="00286C91">
            <w:t xml:space="preserve"> </w:t>
          </w:r>
          <w:r w:rsidR="00F916A3">
            <w:t>15</w:t>
          </w:r>
          <w:r w:rsidR="00286C91">
            <w:t xml:space="preserve"> </w:t>
          </w:r>
          <w:r w:rsidR="00924E6A">
            <w:t>municipios.</w:t>
          </w:r>
        </w:p>
        <w:p w:rsidR="00D139A2" w:rsidRPr="003D4E91" w:rsidRDefault="00D139A2" w:rsidP="00DA6CCE">
          <w:pPr>
            <w:pStyle w:val="Prrafodelista"/>
            <w:tabs>
              <w:tab w:val="left" w:pos="3456"/>
            </w:tabs>
            <w:ind w:left="284"/>
            <w:jc w:val="both"/>
          </w:pPr>
        </w:p>
        <w:p w:rsidR="00B96BF7" w:rsidRPr="0026514C" w:rsidRDefault="00DD7604" w:rsidP="0026514C">
          <w:pPr>
            <w:pStyle w:val="Prrafodelista"/>
            <w:tabs>
              <w:tab w:val="left" w:pos="3456"/>
            </w:tabs>
            <w:ind w:left="284"/>
            <w:jc w:val="center"/>
            <w:rPr>
              <w:b/>
            </w:rPr>
          </w:pPr>
          <w:r>
            <w:rPr>
              <w:b/>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pt;height:514.4pt">
                <v:imagedata r:id="rId36" o:title="Localización"/>
              </v:shape>
            </w:pict>
          </w:r>
        </w:p>
        <w:p w:rsidR="008D4C33" w:rsidRDefault="00924E6A" w:rsidP="008D4C33">
          <w:pPr>
            <w:ind w:firstLine="708"/>
            <w:jc w:val="both"/>
          </w:pPr>
          <w:r>
            <w:lastRenderedPageBreak/>
            <w:t>El grupo de acción local</w:t>
          </w:r>
          <w:r w:rsidR="00737319">
            <w:t xml:space="preserve"> </w:t>
          </w:r>
          <w:r w:rsidR="00CE7E55">
            <w:t xml:space="preserve">CEDEMAR  se compone de la agrupación de las comarcas de la </w:t>
          </w:r>
          <w:r w:rsidR="00CE7E55">
            <w:t xml:space="preserve">Ribera Baja del Ebro y </w:t>
          </w:r>
          <w:r w:rsidR="00CE7E55">
            <w:t xml:space="preserve">el </w:t>
          </w:r>
          <w:r w:rsidR="00CE7E55">
            <w:t>Bajo Aragón Caspe</w:t>
          </w:r>
          <w:r w:rsidR="00CE7E55">
            <w:t xml:space="preserve">. </w:t>
          </w:r>
          <w:r w:rsidR="0026514C">
            <w:t xml:space="preserve">La Ribera Baja del Ebro cuenta con un relieve mayoritariamente de tipo horizontal aunque cuenta con un desnivel de 456m desde la mayor cota de la comarca en la Sierra de </w:t>
          </w:r>
          <w:proofErr w:type="spellStart"/>
          <w:r w:rsidR="0026514C">
            <w:t>Alcubierre</w:t>
          </w:r>
          <w:proofErr w:type="spellEnd"/>
          <w:r w:rsidR="0026514C">
            <w:t xml:space="preserve"> con 581 m hasta la menor en la cola del Embalse de </w:t>
          </w:r>
          <w:proofErr w:type="spellStart"/>
          <w:r w:rsidR="0026514C">
            <w:t>Mequinenza</w:t>
          </w:r>
          <w:proofErr w:type="spellEnd"/>
          <w:r w:rsidR="0026514C">
            <w:t>. Por otro lado, el Bajo Aragón Caspe también concentra un tipo de relieve llano ya que se encaja en l</w:t>
          </w:r>
          <w:r w:rsidR="00DD7604">
            <w:t xml:space="preserve">a cuenca del Ebro, </w:t>
          </w:r>
          <w:r w:rsidR="0026514C">
            <w:t xml:space="preserve">cubeta sedimentaria que fue colmatándose desde la era terciaria por sedimentos </w:t>
          </w:r>
          <w:r w:rsidR="0026514C">
            <w:t>procedentes de la evaporación marina y de la erosión de los relieves que la delimitan</w:t>
          </w:r>
          <w:r w:rsidR="0026514C">
            <w:t>.</w:t>
          </w:r>
        </w:p>
        <w:p w:rsidR="0073084C" w:rsidRDefault="00DD7604" w:rsidP="008D4C33">
          <w:pPr>
            <w:ind w:firstLine="708"/>
            <w:jc w:val="both"/>
          </w:pPr>
          <w:bookmarkStart w:id="0" w:name="_GoBack"/>
          <w:r>
            <w:pict>
              <v:shape id="_x0000_i1026" type="#_x0000_t75" style="width:352.8pt;height:498.4pt">
                <v:imagedata r:id="rId37" o:title="medio_fisico"/>
              </v:shape>
            </w:pict>
          </w:r>
          <w:bookmarkEnd w:id="0"/>
        </w:p>
        <w:p w:rsidR="003D4E91" w:rsidRDefault="003D4E91" w:rsidP="00452FBF">
          <w:pPr>
            <w:jc w:val="center"/>
            <w:rPr>
              <w:b/>
            </w:rPr>
          </w:pPr>
        </w:p>
        <w:p w:rsidR="009508AE" w:rsidRDefault="009508AE" w:rsidP="00DA6CCE">
          <w:pPr>
            <w:jc w:val="both"/>
            <w:rPr>
              <w:b/>
            </w:rPr>
          </w:pPr>
        </w:p>
        <w:p w:rsidR="00943066" w:rsidRDefault="00943066" w:rsidP="00DA6CCE">
          <w:pPr>
            <w:jc w:val="both"/>
            <w:rPr>
              <w:b/>
            </w:rPr>
          </w:pPr>
        </w:p>
        <w:p w:rsidR="00B4331E" w:rsidRDefault="003D4E91" w:rsidP="00DA6CCE">
          <w:pPr>
            <w:ind w:firstLine="708"/>
            <w:jc w:val="both"/>
            <w:rPr>
              <w:b/>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F916A3">
            <w:t>CEDEMAR</w:t>
          </w:r>
          <w:r w:rsidR="000A6D47">
            <w:t xml:space="preserve"> </w:t>
          </w:r>
          <w:r w:rsidR="00BE5550">
            <w:t>vemos como la mayoría de municipios presentan tasas de masculinida</w:t>
          </w:r>
          <w:r w:rsidR="00E81C69">
            <w:t xml:space="preserve">d superiores a las de feminidad. A excepción </w:t>
          </w:r>
          <w:r w:rsidR="00F916A3">
            <w:t xml:space="preserve">de </w:t>
          </w:r>
          <w:proofErr w:type="spellStart"/>
          <w:r w:rsidR="00F916A3">
            <w:t>Escatrón</w:t>
          </w:r>
          <w:proofErr w:type="spellEnd"/>
          <w:r w:rsidR="00F916A3">
            <w:t xml:space="preserve"> y La Zaida.</w:t>
          </w:r>
        </w:p>
        <w:p w:rsidR="00592215" w:rsidRDefault="00DD7604" w:rsidP="00DA02BE">
          <w:pPr>
            <w:jc w:val="center"/>
            <w:rPr>
              <w:b/>
            </w:rPr>
          </w:pPr>
          <w:r>
            <w:rPr>
              <w:b/>
            </w:rPr>
            <w:pict>
              <v:shape id="_x0000_i1027" type="#_x0000_t75" style="width:411.2pt;height:580.8pt">
                <v:imagedata r:id="rId38" o:title="tasamascfem_densi"/>
              </v:shape>
            </w:pict>
          </w:r>
        </w:p>
        <w:p w:rsidR="0073084C" w:rsidRDefault="00592215" w:rsidP="00DA6CCE">
          <w:pPr>
            <w:jc w:val="both"/>
            <w:rPr>
              <w:b/>
            </w:rPr>
          </w:pPr>
          <w:r>
            <w:rPr>
              <w:b/>
            </w:rPr>
            <w:tab/>
          </w:r>
        </w:p>
        <w:p w:rsidR="00592215" w:rsidRPr="00592215" w:rsidRDefault="00592215" w:rsidP="0073084C">
          <w:pPr>
            <w:ind w:firstLine="708"/>
            <w:jc w:val="both"/>
          </w:pPr>
          <w:r>
            <w:lastRenderedPageBreak/>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DD7604" w:rsidP="00452FBF">
          <w:pPr>
            <w:jc w:val="center"/>
            <w:rPr>
              <w:b/>
            </w:rPr>
          </w:pPr>
          <w:r>
            <w:rPr>
              <w:b/>
              <w:noProof/>
              <w:lang w:eastAsia="es-ES"/>
            </w:rPr>
            <w:pict>
              <v:shape id="_x0000_i1028" type="#_x0000_t75" style="width:424.8pt;height:490.4pt">
                <v:imagedata r:id="rId39" o:title="ENVEJARAGÓN_CEDEMAR"/>
              </v:shape>
            </w:pict>
          </w:r>
        </w:p>
        <w:p w:rsidR="00B4331E" w:rsidRDefault="00592215" w:rsidP="00DA6CCE">
          <w:pPr>
            <w:jc w:val="both"/>
          </w:pPr>
          <w:r>
            <w:rPr>
              <w:b/>
            </w:rPr>
            <w:tab/>
          </w:r>
          <w:r w:rsidR="00F916A3">
            <w:t>En verde encontramos los municipios que se presentan cifras de envejecimiento inferiores a la media de Aragón siendo este el caso de Pina de Ebro (82,8%). Por otra parte,  e</w:t>
          </w:r>
          <w:r w:rsidR="00AB3ED5">
            <w:t>n amarillo</w:t>
          </w:r>
          <w:r w:rsidR="00085C12">
            <w:t xml:space="preserve"> </w:t>
          </w:r>
          <w:r>
            <w:t xml:space="preserve"> </w:t>
          </w:r>
          <w:r w:rsidR="00F916A3">
            <w:t>se encuentran representados</w:t>
          </w:r>
          <w:r>
            <w:t xml:space="preserve"> los valores que se asemejan a la media de Aragón</w:t>
          </w:r>
          <w:r w:rsidR="00085C12">
            <w:t xml:space="preserve"> pudiendo ver como</w:t>
          </w:r>
          <w:r w:rsidR="00B4331E">
            <w:t xml:space="preserve"> </w:t>
          </w:r>
          <w:r w:rsidR="00F916A3">
            <w:t>Caspe es el único municipio que cumple</w:t>
          </w:r>
          <w:r w:rsidR="00085C12">
            <w:t xml:space="preserve"> este requisito</w:t>
          </w:r>
          <w:r w:rsidR="0073084C">
            <w:t>.</w:t>
          </w:r>
          <w:r w:rsidR="00D1226C">
            <w:t xml:space="preserve"> </w:t>
          </w:r>
          <w:r w:rsidR="0073084C">
            <w:t>Y</w:t>
          </w:r>
          <w:r>
            <w:t xml:space="preserve">, en el último </w:t>
          </w:r>
          <w:r w:rsidR="00F916A3">
            <w:t>lugar</w:t>
          </w:r>
          <w:r>
            <w:t xml:space="preserve">, los valores que se representan en diferentes tonalidades de rojo son aquellos </w:t>
          </w:r>
          <w:r w:rsidR="00AB3ED5">
            <w:t xml:space="preserve">que se encuentran por encima de la media. Con estas tonalidades hemos querido resaltar aquellos municipios que dentro de tasas altas de envejecimiento tienen valores </w:t>
          </w:r>
          <w:r w:rsidR="005C032F">
            <w:t>más</w:t>
          </w:r>
          <w:r w:rsidR="00AB3ED5">
            <w:t xml:space="preserve"> alarmantes y cuales todavía no tanto</w:t>
          </w:r>
          <w:r w:rsidR="000B686B">
            <w:t xml:space="preserve">. </w:t>
          </w:r>
          <w:proofErr w:type="spellStart"/>
          <w:r w:rsidR="00F916A3">
            <w:t>Alforque</w:t>
          </w:r>
          <w:proofErr w:type="spellEnd"/>
          <w:r w:rsidR="00F916A3">
            <w:t xml:space="preserve"> (640%), </w:t>
          </w:r>
          <w:proofErr w:type="spellStart"/>
          <w:r w:rsidR="00F916A3">
            <w:t>Sástago</w:t>
          </w:r>
          <w:proofErr w:type="spellEnd"/>
          <w:r w:rsidR="00F916A3">
            <w:t xml:space="preserve"> (358,9%), </w:t>
          </w:r>
          <w:proofErr w:type="spellStart"/>
          <w:r w:rsidR="00F916A3">
            <w:t>Fayón</w:t>
          </w:r>
          <w:proofErr w:type="spellEnd"/>
          <w:r w:rsidR="00F916A3">
            <w:t xml:space="preserve"> (326,3%) y </w:t>
          </w:r>
          <w:proofErr w:type="spellStart"/>
          <w:r w:rsidR="00F916A3">
            <w:t>Alborge</w:t>
          </w:r>
          <w:proofErr w:type="spellEnd"/>
          <w:r w:rsidR="00F916A3">
            <w:t xml:space="preserve"> </w:t>
          </w:r>
          <w:r w:rsidR="00F916A3">
            <w:lastRenderedPageBreak/>
            <w:t>(281,3%) son los</w:t>
          </w:r>
          <w:r w:rsidR="00B4331E">
            <w:t xml:space="preserve"> municipio</w:t>
          </w:r>
          <w:r w:rsidR="00F916A3">
            <w:t>s</w:t>
          </w:r>
          <w:r w:rsidR="00B4331E">
            <w:t xml:space="preserve"> que mayor envejecimiento del grupo presenta</w:t>
          </w:r>
          <w:r w:rsidR="00F916A3">
            <w:t>n</w:t>
          </w:r>
          <w:r w:rsidR="00B4331E">
            <w:t xml:space="preserve"> situándose </w:t>
          </w:r>
          <w:r w:rsidR="000725D3">
            <w:t xml:space="preserve">en una </w:t>
          </w:r>
          <w:r w:rsidR="00B4331E">
            <w:t xml:space="preserve">posición </w:t>
          </w:r>
          <w:r w:rsidR="000725D3">
            <w:t xml:space="preserve"> alarmante en cuanto a la media de envejecimien</w:t>
          </w:r>
          <w:r w:rsidR="0012353F">
            <w:t>to de Aragón.</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r w:rsidR="00923EF1" w:rsidRPr="00923EF1">
            <w:t xml:space="preserve"> </w:t>
          </w:r>
        </w:p>
        <w:p w:rsidR="005C032F" w:rsidRDefault="00DD7604" w:rsidP="00452FBF">
          <w:pPr>
            <w:jc w:val="center"/>
          </w:pPr>
          <w:r>
            <w:pict>
              <v:shape id="_x0000_i1029" type="#_x0000_t75" style="width:388.8pt;height:497.6pt">
                <v:imagedata r:id="rId40" o:title="envej_paro"/>
              </v:shape>
            </w:pict>
          </w:r>
        </w:p>
        <w:p w:rsidR="00731030" w:rsidRDefault="005C032F" w:rsidP="00DA6CCE">
          <w:pPr>
            <w:jc w:val="both"/>
          </w:pPr>
          <w:r>
            <w:tab/>
            <w:t>En este primer mapa lo que encontramos es como a primera vista vemos que los lugares donde las tasas de envejecimiento son superiores muestran unas tasas de paro más bajas, lo cual es lógico ya que, el rasgo del envejecimiento implica población con edades altas, de los 65 en adelante, donde prácticamente el total poblacional ya está jubilado y evidentemente el paro apenas existe</w:t>
          </w:r>
          <w:r w:rsidR="00AB3ED5">
            <w:t>.</w:t>
          </w:r>
          <w:r w:rsidR="00D1226C">
            <w:t xml:space="preserve"> </w:t>
          </w:r>
        </w:p>
        <w:p w:rsidR="005C032F" w:rsidRDefault="005C032F" w:rsidP="00DA6CCE">
          <w:pPr>
            <w:jc w:val="both"/>
          </w:pPr>
          <w:r>
            <w:lastRenderedPageBreak/>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DD7604" w:rsidP="00452FBF">
          <w:pPr>
            <w:jc w:val="center"/>
          </w:pPr>
          <w:r>
            <w:pict>
              <v:shape id="_x0000_i1030" type="#_x0000_t75" style="width:424.8pt;height:564pt">
                <v:imagedata r:id="rId41" o:title="ENVEJ_MASCU"/>
              </v:shape>
            </w:pict>
          </w:r>
        </w:p>
        <w:p w:rsidR="005C032F" w:rsidRDefault="005C032F" w:rsidP="00DA6CCE">
          <w:pPr>
            <w:jc w:val="both"/>
          </w:pPr>
          <w:r>
            <w:tab/>
            <w:t xml:space="preserve">Al representar los valores de las variables en el mapa vemos como prácticamente las tasas de masculinidad </w:t>
          </w:r>
          <w:r w:rsidR="00923EF1">
            <w:t>son muy parecidas en todos los lugares y, aunque se reducen algo en aquellos municipios donde el índice de envejecimiento es menor, no podemos decir que exista una relación significativa  entre ambas variables.</w:t>
          </w:r>
        </w:p>
        <w:p w:rsidR="005C032F" w:rsidRDefault="00A870E9" w:rsidP="00DA6CCE">
          <w:pPr>
            <w:ind w:firstLine="708"/>
            <w:jc w:val="both"/>
          </w:pPr>
          <w:r>
            <w:lastRenderedPageBreak/>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DA6CCE" w:rsidRDefault="00DD7604" w:rsidP="00CE6A13">
          <w:pPr>
            <w:ind w:firstLine="426"/>
            <w:jc w:val="center"/>
          </w:pPr>
          <w:r>
            <w:rPr>
              <w:noProof/>
              <w:lang w:eastAsia="es-ES"/>
            </w:rPr>
            <w:pict>
              <v:shape id="_x0000_i1031" type="#_x0000_t75" style="width:364.8pt;height:465.6pt">
                <v:imagedata r:id="rId42" o:title="densi_Acteconom"/>
              </v:shape>
            </w:pict>
          </w:r>
        </w:p>
        <w:p w:rsidR="00DA6CCE" w:rsidRDefault="00DA6CCE" w:rsidP="0089418C">
          <w:pPr>
            <w:ind w:firstLine="708"/>
            <w:jc w:val="both"/>
          </w:pPr>
          <w:r>
            <w:t xml:space="preserve">En este primer mapa vemos una clara diferenciación en función de las diferentes actividades económicas desarrolladas en los municipios que se engloban en el grupo </w:t>
          </w:r>
          <w:r w:rsidR="00EB1834">
            <w:t xml:space="preserve">CEDEMAR </w:t>
          </w:r>
          <w:r>
            <w:t xml:space="preserve">en función de su densidad. Según lo que podemos apreciar aquellos municipios donde la densidad es media o alta presenta un porcentaje de ocupación sobre el total de actividades mayor en el ámbito de los servicios. Prácticamente en todas las áreas incluso en aquellas donde la densidad de población es baja el porcentaje de ocupación en el sector servicios es mayor por lo que podemos decir que se trata de </w:t>
          </w:r>
          <w:r w:rsidRPr="00DA6CCE">
            <w:rPr>
              <w:b/>
            </w:rPr>
            <w:t>áreas terciarizadas.</w:t>
          </w:r>
          <w:r>
            <w:rPr>
              <w:b/>
            </w:rPr>
            <w:t xml:space="preserve"> </w:t>
          </w:r>
          <w:r w:rsidRPr="00DA6CCE">
            <w:t>Bien es cierto, que el porcentaje de ocupación en actividades pri</w:t>
          </w:r>
          <w:r w:rsidR="0089418C">
            <w:t>marias aumenta su peso respecto al del sector servicios en los municipios con densidades más bajas aunque nunca llega a superarlo.</w:t>
          </w:r>
        </w:p>
        <w:p w:rsidR="00F6732C" w:rsidRDefault="00DD7604" w:rsidP="00DA6CCE">
          <w:pPr>
            <w:ind w:firstLine="284"/>
            <w:jc w:val="center"/>
          </w:pPr>
          <w:r>
            <w:lastRenderedPageBreak/>
            <w:pict>
              <v:shape id="_x0000_i1032" type="#_x0000_t75" style="width:424.8pt;height:568.8pt">
                <v:imagedata r:id="rId43" o:title="DENSI_PARO"/>
              </v:shape>
            </w:pict>
          </w:r>
        </w:p>
        <w:p w:rsidR="00277627" w:rsidRPr="00592215" w:rsidRDefault="00B07BC3" w:rsidP="00BC2390">
          <w:pPr>
            <w:ind w:firstLine="284"/>
            <w:jc w:val="both"/>
          </w:pPr>
          <w:r w:rsidRPr="00B07BC3">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Como vemos en el mapa anterior la densidad sí que se trata de una variable que influye en la cantidad de paro en un determinado lugar. Lo cual hace lógicamente que, como podemos observar, sean aquellos municipios donde la densidad sea más baja los lugares donde la tasa de paro sea menor que en el resto.</w:t>
          </w:r>
          <w:r w:rsidR="00EB7E4E">
            <w:t xml:space="preserve"> </w:t>
          </w:r>
          <w:r w:rsidR="00EB1834">
            <w:t xml:space="preserve">Caspe (49,52%), Quinto (11,4%), Pina de Ebro (11,03%) y Escatrón (6,71%) </w:t>
          </w:r>
          <w:r w:rsidR="00B55AEC">
            <w:t>son los</w:t>
          </w:r>
          <w:r w:rsidR="00F74E34">
            <w:t xml:space="preserve"> municipio</w:t>
          </w:r>
          <w:r w:rsidR="00B55AEC">
            <w:t>s</w:t>
          </w:r>
          <w:r w:rsidR="00EB7E4E">
            <w:t xml:space="preserve"> que </w:t>
          </w:r>
          <w:r w:rsidR="00F74E34">
            <w:t>mayor tasa de paro presenta</w:t>
          </w:r>
          <w:r w:rsidR="00B55AEC">
            <w:t>n</w:t>
          </w:r>
          <w:r w:rsidR="00F74E34">
            <w:t xml:space="preserve"> </w:t>
          </w:r>
          <w:r w:rsidR="00EB7E4E">
            <w:t xml:space="preserve"> de todo el grupo</w:t>
          </w:r>
          <w:r w:rsidR="00D0138C">
            <w:t xml:space="preserve"> </w:t>
          </w:r>
          <w:r w:rsidR="00EB1834">
            <w:t>CEDEMAR</w:t>
          </w:r>
          <w:r w:rsidR="00093C75">
            <w:t>.</w:t>
          </w:r>
        </w:p>
        <w:p w:rsidR="005047FE" w:rsidRDefault="00DA6CCE" w:rsidP="00DA6CCE">
          <w:pPr>
            <w:ind w:firstLine="284"/>
            <w:jc w:val="both"/>
          </w:pPr>
          <w:r>
            <w:lastRenderedPageBreak/>
            <w:t xml:space="preserve">Pero, más allá de lo que sería conocer la tasa de paro total sobre la densidad de población en el grupo </w:t>
          </w:r>
          <w:r w:rsidR="00333763">
            <w:t>CEDEMAR</w:t>
          </w:r>
          <w:r w:rsidR="00502CCF">
            <w:t xml:space="preserve"> </w:t>
          </w:r>
          <w:r>
            <w:t>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DD7604" w:rsidP="00452FBF">
      <w:pPr>
        <w:jc w:val="center"/>
      </w:pPr>
      <w:r>
        <w:pict>
          <v:shape id="_x0000_i1033" type="#_x0000_t75" style="width:397.6pt;height:514.4pt">
            <v:imagedata r:id="rId44" o:title="densi_paroHOM_MUJ"/>
          </v:shape>
        </w:pict>
      </w:r>
    </w:p>
    <w:p w:rsidR="00452FBF" w:rsidRDefault="00452FBF" w:rsidP="00452FBF">
      <w:pPr>
        <w:jc w:val="both"/>
      </w:pPr>
      <w:r>
        <w:tab/>
        <w:t xml:space="preserve">En este caso vemos como al establecer la diferenciación en el paro de hombres y mujeres encontramos </w:t>
      </w:r>
      <w:r w:rsidR="00B636B4">
        <w:t xml:space="preserve">como </w:t>
      </w:r>
      <w:r w:rsidR="00BC2390">
        <w:t xml:space="preserve">la mayor parte de municipios presenta cifras de paro superiores en mujeres que en hombres a excepción de los municipios </w:t>
      </w:r>
      <w:proofErr w:type="spellStart"/>
      <w:r w:rsidR="00333763">
        <w:t>Nonaspe</w:t>
      </w:r>
      <w:proofErr w:type="spellEnd"/>
      <w:r w:rsidR="00333763">
        <w:t xml:space="preserve">, </w:t>
      </w:r>
      <w:proofErr w:type="spellStart"/>
      <w:r w:rsidR="00333763">
        <w:t>Fabara</w:t>
      </w:r>
      <w:proofErr w:type="spellEnd"/>
      <w:r w:rsidR="00333763">
        <w:t xml:space="preserve">, </w:t>
      </w:r>
      <w:proofErr w:type="spellStart"/>
      <w:r w:rsidR="00333763">
        <w:t>Sástago</w:t>
      </w:r>
      <w:proofErr w:type="spellEnd"/>
      <w:r w:rsidR="00333763">
        <w:t xml:space="preserve">, </w:t>
      </w:r>
      <w:proofErr w:type="spellStart"/>
      <w:r w:rsidR="00333763">
        <w:t>Chiprana</w:t>
      </w:r>
      <w:proofErr w:type="spellEnd"/>
      <w:r w:rsidR="00333763">
        <w:t xml:space="preserve">, </w:t>
      </w:r>
      <w:proofErr w:type="spellStart"/>
      <w:r w:rsidR="00333763">
        <w:t>Fayón</w:t>
      </w:r>
      <w:proofErr w:type="spellEnd"/>
      <w:r w:rsidR="00333763">
        <w:t xml:space="preserve"> y </w:t>
      </w:r>
      <w:proofErr w:type="spellStart"/>
      <w:r w:rsidR="00333763">
        <w:t>Alborge</w:t>
      </w:r>
      <w:proofErr w:type="spellEnd"/>
      <w:r w:rsidR="00333763">
        <w:t>.</w:t>
      </w:r>
    </w:p>
    <w:p w:rsidR="00333763" w:rsidRDefault="00333763" w:rsidP="00452FBF">
      <w:pPr>
        <w:jc w:val="both"/>
      </w:pPr>
    </w:p>
    <w:p w:rsidR="00A954F5" w:rsidRDefault="00A954F5" w:rsidP="00A954F5">
      <w:pPr>
        <w:ind w:firstLine="708"/>
        <w:jc w:val="both"/>
      </w:pPr>
      <w:r>
        <w:lastRenderedPageBreak/>
        <w:t xml:space="preserve">En cuanto a la tasa de feminidad respecto a la tasa de paro en mujeres, podemos ver como en el mapa apenas se aprecian áreas con tasas de paro elevadas en mujeres a excepción del caso de  </w:t>
      </w:r>
      <w:r w:rsidR="00EE410C">
        <w:t>Caspe (25,21%), Quinto (6,71%) y Pina de Ebro (6,55%).</w:t>
      </w:r>
    </w:p>
    <w:p w:rsidR="00B522B6" w:rsidRDefault="00DD7604" w:rsidP="006C1ADA">
      <w:pPr>
        <w:jc w:val="center"/>
      </w:pPr>
      <w:r>
        <w:pict>
          <v:shape id="_x0000_i1034" type="#_x0000_t75" style="width:424.8pt;height:600.8pt">
            <v:imagedata r:id="rId45" o:title="fem_paromuj"/>
          </v:shape>
        </w:pict>
      </w:r>
    </w:p>
    <w:p w:rsidR="00BF1814" w:rsidRDefault="00BF1814" w:rsidP="006C1ADA">
      <w:pPr>
        <w:jc w:val="center"/>
      </w:pPr>
    </w:p>
    <w:p w:rsidR="00BF1814" w:rsidRDefault="00BF1814" w:rsidP="006C1ADA">
      <w:pPr>
        <w:jc w:val="center"/>
      </w:pPr>
    </w:p>
    <w:p w:rsidR="00A954F5" w:rsidRDefault="00A954F5" w:rsidP="00A954F5">
      <w:pPr>
        <w:ind w:firstLine="708"/>
        <w:jc w:val="both"/>
      </w:pPr>
      <w:r>
        <w:lastRenderedPageBreak/>
        <w:t xml:space="preserve">Por otro lado vemos el mapa referente a la tasa de masculinidad respecto a la tasa de paro en hombres </w:t>
      </w:r>
      <w:r w:rsidR="006958DB">
        <w:t>y, lo que observamo</w:t>
      </w:r>
      <w:r w:rsidR="00DB2C44">
        <w:t>s es que, en su mayoría</w:t>
      </w:r>
      <w:r w:rsidR="00B522B6">
        <w:t xml:space="preserve">, </w:t>
      </w:r>
      <w:r w:rsidR="00806846">
        <w:t xml:space="preserve">las mayores tasas de paro se concentran en las áreas donde existe una densidad de población media-alta o alta. Aquellos municipios que presentan las mayores cifras de paro en hombres son: </w:t>
      </w:r>
      <w:r w:rsidR="00EE410C">
        <w:t>Caspe (24,3%), Quinto (4,69%) y Pina d Ebro (4,47%).</w:t>
      </w:r>
    </w:p>
    <w:p w:rsidR="0010130B" w:rsidRDefault="00DD7604" w:rsidP="00EE410C">
      <w:pPr>
        <w:jc w:val="center"/>
      </w:pPr>
      <w:r>
        <w:pict>
          <v:shape id="_x0000_i1035" type="#_x0000_t75" style="width:416.8pt;height:571.2pt">
            <v:imagedata r:id="rId46" o:title="tasamasc_parohom"/>
          </v:shape>
        </w:pict>
      </w:r>
    </w:p>
    <w:p w:rsidR="00EE410C" w:rsidRDefault="00EE410C" w:rsidP="00EE410C">
      <w:pPr>
        <w:jc w:val="center"/>
      </w:pPr>
    </w:p>
    <w:p w:rsidR="00EE410C" w:rsidRDefault="00EE410C" w:rsidP="006A02CE"/>
    <w:p w:rsidR="006E4407" w:rsidRDefault="0010130B" w:rsidP="00A744E6">
      <w:pPr>
        <w:ind w:firstLine="993"/>
        <w:jc w:val="both"/>
      </w:pPr>
      <w:r>
        <w:lastRenderedPageBreak/>
        <w:t xml:space="preserve">Otra última relación que nos resultó interesante a la hora de realizar el análisis sobre </w:t>
      </w:r>
      <w:r w:rsidR="001F60B6">
        <w:t xml:space="preserve">la tasa de paro en el grupo </w:t>
      </w:r>
      <w:r w:rsidR="006A02CE">
        <w:t>CEDEMAR</w:t>
      </w:r>
      <w:r w:rsidR="00A36B27">
        <w:t xml:space="preserve"> </w:t>
      </w:r>
      <w:r w:rsidR="00A51B0F">
        <w:t xml:space="preserve"> </w:t>
      </w:r>
      <w:r>
        <w:t>fue la del paro total y la tasa de masculinidad</w:t>
      </w:r>
      <w:r w:rsidRPr="0010130B">
        <w:t xml:space="preserve"> </w:t>
      </w:r>
      <w:r w:rsidR="00A744E6">
        <w:t xml:space="preserve">de cada </w:t>
      </w:r>
      <w:r>
        <w:t xml:space="preserve">municipio. </w:t>
      </w:r>
    </w:p>
    <w:p w:rsidR="0010130B" w:rsidRDefault="00DD7604" w:rsidP="00920468">
      <w:pPr>
        <w:ind w:firstLine="567"/>
        <w:jc w:val="both"/>
      </w:pPr>
      <w:r>
        <w:pict>
          <v:shape id="_x0000_i1036" type="#_x0000_t75" style="width:424.8pt;height:600.8pt">
            <v:imagedata r:id="rId47" o:title="mascu_paro"/>
          </v:shape>
        </w:pict>
      </w:r>
    </w:p>
    <w:p w:rsidR="00A51B0F" w:rsidRDefault="0010130B" w:rsidP="00600947">
      <w:pPr>
        <w:ind w:firstLine="708"/>
        <w:jc w:val="both"/>
      </w:pPr>
      <w:r>
        <w:t xml:space="preserve">Al relacionar estas variables observamos como las áreas con una tasa de masculinidad </w:t>
      </w:r>
      <w:r w:rsidR="005014DE">
        <w:t>media</w:t>
      </w:r>
      <w:r w:rsidR="00A36B27">
        <w:t xml:space="preserve"> o media-alta</w:t>
      </w:r>
      <w:r w:rsidR="00A51B0F">
        <w:t xml:space="preserve"> presentan valores de paro mayores.</w:t>
      </w:r>
    </w:p>
    <w:p w:rsidR="00920468" w:rsidRDefault="00F00975" w:rsidP="00920468">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920468" w:rsidRDefault="00DD7604" w:rsidP="006A02CE">
      <w:pPr>
        <w:jc w:val="center"/>
      </w:pPr>
      <w:r>
        <w:pict>
          <v:shape id="_x0000_i1037" type="#_x0000_t75" style="width:363.2pt;height:512pt">
            <v:imagedata r:id="rId48" o:title="densi_altasss2014sept"/>
          </v:shape>
        </w:pict>
      </w:r>
    </w:p>
    <w:p w:rsidR="007C3A15" w:rsidRDefault="004E34E8" w:rsidP="001F60B6">
      <w:pPr>
        <w:ind w:firstLine="424"/>
        <w:jc w:val="both"/>
      </w:pPr>
      <w:r>
        <w:t xml:space="preserve">Analizando el mapa vemos como </w:t>
      </w:r>
      <w:r w:rsidR="00B83F8E">
        <w:t xml:space="preserve">casi </w:t>
      </w:r>
      <w:r w:rsidR="0069681C">
        <w:t xml:space="preserve">todos los municipios muestran </w:t>
      </w:r>
      <w:r w:rsidR="00920468">
        <w:t xml:space="preserve">una clara mayoría de altas a la </w:t>
      </w:r>
      <w:r w:rsidR="0069681C">
        <w:t>seguridad social durante el periodo de septiembre de 2014 en hombres respecto a mujeres</w:t>
      </w:r>
      <w:r w:rsidR="00A36B27">
        <w:t>.</w:t>
      </w:r>
      <w:r w:rsidR="006A02CE">
        <w:t xml:space="preserve"> </w:t>
      </w:r>
      <w:r w:rsidR="00717D25">
        <w:t xml:space="preserve">La excepción se cumple en </w:t>
      </w:r>
      <w:proofErr w:type="spellStart"/>
      <w:r w:rsidR="00717D25">
        <w:t>Alforque</w:t>
      </w:r>
      <w:proofErr w:type="spellEnd"/>
      <w:r w:rsidR="00717D25">
        <w:t xml:space="preserve"> y Cinco Olivas. </w:t>
      </w:r>
    </w:p>
    <w:sectPr w:rsidR="007C3A1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0FC" w:rsidRDefault="003840FC" w:rsidP="005047FE">
      <w:pPr>
        <w:spacing w:after="0" w:line="240" w:lineRule="auto"/>
      </w:pPr>
      <w:r>
        <w:separator/>
      </w:r>
    </w:p>
  </w:endnote>
  <w:endnote w:type="continuationSeparator" w:id="0">
    <w:p w:rsidR="003840FC" w:rsidRDefault="003840FC"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DD7604" w:rsidRPr="00DD7604">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12</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9"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30"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1"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2"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3"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DD7604" w:rsidRPr="00DD7604">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12</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0FC" w:rsidRDefault="003840FC" w:rsidP="005047FE">
      <w:pPr>
        <w:spacing w:after="0" w:line="240" w:lineRule="auto"/>
      </w:pPr>
      <w:r>
        <w:separator/>
      </w:r>
    </w:p>
  </w:footnote>
  <w:footnote w:type="continuationSeparator" w:id="0">
    <w:p w:rsidR="003840FC" w:rsidRDefault="003840FC"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4028EA" w:rsidP="00CD1578">
              <w:pPr>
                <w:pStyle w:val="Encabezado"/>
                <w:jc w:val="center"/>
                <w:rPr>
                  <w:caps/>
                  <w:color w:val="FFFFFF" w:themeColor="background1"/>
                </w:rPr>
              </w:pPr>
              <w:r>
                <w:rPr>
                  <w:caps/>
                  <w:color w:val="FFFFFF" w:themeColor="background1"/>
                </w:rPr>
                <w:t>Caracterización territorial de Mar de Aragón. Centro para el Desarrollo de las Comarcas del Mar de Aragon (Cedemar)</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4790"/>
    <w:rsid w:val="0000722B"/>
    <w:rsid w:val="000218A7"/>
    <w:rsid w:val="000507AF"/>
    <w:rsid w:val="00055955"/>
    <w:rsid w:val="00064503"/>
    <w:rsid w:val="00070D7B"/>
    <w:rsid w:val="000725D3"/>
    <w:rsid w:val="00077359"/>
    <w:rsid w:val="00085C12"/>
    <w:rsid w:val="00093C75"/>
    <w:rsid w:val="000A6D47"/>
    <w:rsid w:val="000B128B"/>
    <w:rsid w:val="000B4043"/>
    <w:rsid w:val="000B686B"/>
    <w:rsid w:val="000E2003"/>
    <w:rsid w:val="000E24E8"/>
    <w:rsid w:val="0010130B"/>
    <w:rsid w:val="00106908"/>
    <w:rsid w:val="0011532C"/>
    <w:rsid w:val="00122850"/>
    <w:rsid w:val="0012353F"/>
    <w:rsid w:val="00140105"/>
    <w:rsid w:val="00162BD4"/>
    <w:rsid w:val="00172F65"/>
    <w:rsid w:val="00173249"/>
    <w:rsid w:val="00183475"/>
    <w:rsid w:val="00187242"/>
    <w:rsid w:val="00190C45"/>
    <w:rsid w:val="00191788"/>
    <w:rsid w:val="00195345"/>
    <w:rsid w:val="001B65A0"/>
    <w:rsid w:val="001D768D"/>
    <w:rsid w:val="001F60B6"/>
    <w:rsid w:val="0020383E"/>
    <w:rsid w:val="0022169C"/>
    <w:rsid w:val="00226733"/>
    <w:rsid w:val="00247F9F"/>
    <w:rsid w:val="00264FE6"/>
    <w:rsid w:val="0026514C"/>
    <w:rsid w:val="002655BE"/>
    <w:rsid w:val="00273C95"/>
    <w:rsid w:val="002748A7"/>
    <w:rsid w:val="0027612C"/>
    <w:rsid w:val="00277627"/>
    <w:rsid w:val="00286287"/>
    <w:rsid w:val="00286C91"/>
    <w:rsid w:val="00287406"/>
    <w:rsid w:val="002A1ADA"/>
    <w:rsid w:val="002C3354"/>
    <w:rsid w:val="002D6CE0"/>
    <w:rsid w:val="002E0141"/>
    <w:rsid w:val="002E3D44"/>
    <w:rsid w:val="003022EF"/>
    <w:rsid w:val="00306056"/>
    <w:rsid w:val="00333763"/>
    <w:rsid w:val="003431C8"/>
    <w:rsid w:val="00347621"/>
    <w:rsid w:val="00347641"/>
    <w:rsid w:val="003729DC"/>
    <w:rsid w:val="00377BFD"/>
    <w:rsid w:val="003840FC"/>
    <w:rsid w:val="00384351"/>
    <w:rsid w:val="003A36B8"/>
    <w:rsid w:val="003B3FA0"/>
    <w:rsid w:val="003D4E91"/>
    <w:rsid w:val="003E0431"/>
    <w:rsid w:val="003F3E4A"/>
    <w:rsid w:val="004015F0"/>
    <w:rsid w:val="004028EA"/>
    <w:rsid w:val="004105C6"/>
    <w:rsid w:val="00416E44"/>
    <w:rsid w:val="00424122"/>
    <w:rsid w:val="00425194"/>
    <w:rsid w:val="00452FBF"/>
    <w:rsid w:val="00460D1F"/>
    <w:rsid w:val="004722D5"/>
    <w:rsid w:val="00482A0A"/>
    <w:rsid w:val="0048770D"/>
    <w:rsid w:val="004B1F14"/>
    <w:rsid w:val="004D6DE4"/>
    <w:rsid w:val="004E34E8"/>
    <w:rsid w:val="005014DE"/>
    <w:rsid w:val="00502CCF"/>
    <w:rsid w:val="005047FE"/>
    <w:rsid w:val="005270C3"/>
    <w:rsid w:val="00531402"/>
    <w:rsid w:val="00533C22"/>
    <w:rsid w:val="00565BB1"/>
    <w:rsid w:val="00591C12"/>
    <w:rsid w:val="00591CE7"/>
    <w:rsid w:val="00592215"/>
    <w:rsid w:val="005A1F78"/>
    <w:rsid w:val="005A5F81"/>
    <w:rsid w:val="005B7974"/>
    <w:rsid w:val="005C032F"/>
    <w:rsid w:val="005C7A73"/>
    <w:rsid w:val="005D76AA"/>
    <w:rsid w:val="005E1E26"/>
    <w:rsid w:val="005F081D"/>
    <w:rsid w:val="005F110C"/>
    <w:rsid w:val="005F2FC9"/>
    <w:rsid w:val="00600947"/>
    <w:rsid w:val="006032D4"/>
    <w:rsid w:val="00625167"/>
    <w:rsid w:val="006256A1"/>
    <w:rsid w:val="00641D40"/>
    <w:rsid w:val="0064433B"/>
    <w:rsid w:val="00660D14"/>
    <w:rsid w:val="006622A5"/>
    <w:rsid w:val="00677B14"/>
    <w:rsid w:val="006958DB"/>
    <w:rsid w:val="00695C58"/>
    <w:rsid w:val="0069616A"/>
    <w:rsid w:val="0069681C"/>
    <w:rsid w:val="006A02CE"/>
    <w:rsid w:val="006A183E"/>
    <w:rsid w:val="006C1ADA"/>
    <w:rsid w:val="006D7F6B"/>
    <w:rsid w:val="006E4407"/>
    <w:rsid w:val="006F1599"/>
    <w:rsid w:val="006F2D85"/>
    <w:rsid w:val="006F376E"/>
    <w:rsid w:val="00716F00"/>
    <w:rsid w:val="00717D25"/>
    <w:rsid w:val="0073084C"/>
    <w:rsid w:val="00731030"/>
    <w:rsid w:val="007344D7"/>
    <w:rsid w:val="00737319"/>
    <w:rsid w:val="00746BD5"/>
    <w:rsid w:val="00753A60"/>
    <w:rsid w:val="0076505F"/>
    <w:rsid w:val="0077413A"/>
    <w:rsid w:val="007A3D6C"/>
    <w:rsid w:val="007C3A15"/>
    <w:rsid w:val="007D0875"/>
    <w:rsid w:val="007D4708"/>
    <w:rsid w:val="00806846"/>
    <w:rsid w:val="008222AC"/>
    <w:rsid w:val="008274D8"/>
    <w:rsid w:val="00840B45"/>
    <w:rsid w:val="00851169"/>
    <w:rsid w:val="008836D8"/>
    <w:rsid w:val="0089418C"/>
    <w:rsid w:val="0089728B"/>
    <w:rsid w:val="008D4C33"/>
    <w:rsid w:val="008E143A"/>
    <w:rsid w:val="008E5F23"/>
    <w:rsid w:val="008E7AAF"/>
    <w:rsid w:val="008F1315"/>
    <w:rsid w:val="00906EF5"/>
    <w:rsid w:val="00920468"/>
    <w:rsid w:val="00923EF1"/>
    <w:rsid w:val="00924E6A"/>
    <w:rsid w:val="0092710E"/>
    <w:rsid w:val="00934ACD"/>
    <w:rsid w:val="00943066"/>
    <w:rsid w:val="00947CA6"/>
    <w:rsid w:val="009508AE"/>
    <w:rsid w:val="009704C6"/>
    <w:rsid w:val="00974B32"/>
    <w:rsid w:val="009959FE"/>
    <w:rsid w:val="009C0390"/>
    <w:rsid w:val="009C4330"/>
    <w:rsid w:val="009D7D21"/>
    <w:rsid w:val="009E04F8"/>
    <w:rsid w:val="009F21D0"/>
    <w:rsid w:val="00A06A74"/>
    <w:rsid w:val="00A153AD"/>
    <w:rsid w:val="00A33934"/>
    <w:rsid w:val="00A36B27"/>
    <w:rsid w:val="00A51B0F"/>
    <w:rsid w:val="00A744E6"/>
    <w:rsid w:val="00A84D47"/>
    <w:rsid w:val="00A870E9"/>
    <w:rsid w:val="00A954F5"/>
    <w:rsid w:val="00AB3ED5"/>
    <w:rsid w:val="00AD3651"/>
    <w:rsid w:val="00AE2FAD"/>
    <w:rsid w:val="00AF7330"/>
    <w:rsid w:val="00B01298"/>
    <w:rsid w:val="00B07BC3"/>
    <w:rsid w:val="00B11D9E"/>
    <w:rsid w:val="00B12E0D"/>
    <w:rsid w:val="00B26632"/>
    <w:rsid w:val="00B30CAE"/>
    <w:rsid w:val="00B32B00"/>
    <w:rsid w:val="00B4331E"/>
    <w:rsid w:val="00B50C23"/>
    <w:rsid w:val="00B522B6"/>
    <w:rsid w:val="00B55AEC"/>
    <w:rsid w:val="00B56B75"/>
    <w:rsid w:val="00B636B4"/>
    <w:rsid w:val="00B7067C"/>
    <w:rsid w:val="00B8002C"/>
    <w:rsid w:val="00B808EA"/>
    <w:rsid w:val="00B83F8E"/>
    <w:rsid w:val="00B96BF7"/>
    <w:rsid w:val="00BA3F5E"/>
    <w:rsid w:val="00BA5C6C"/>
    <w:rsid w:val="00BB47F5"/>
    <w:rsid w:val="00BB78C6"/>
    <w:rsid w:val="00BC2390"/>
    <w:rsid w:val="00BC35E8"/>
    <w:rsid w:val="00BC4612"/>
    <w:rsid w:val="00BD5C8F"/>
    <w:rsid w:val="00BE0DDE"/>
    <w:rsid w:val="00BE4020"/>
    <w:rsid w:val="00BE5550"/>
    <w:rsid w:val="00BF1814"/>
    <w:rsid w:val="00C011E9"/>
    <w:rsid w:val="00C22CED"/>
    <w:rsid w:val="00C33F8E"/>
    <w:rsid w:val="00C434E8"/>
    <w:rsid w:val="00C45E03"/>
    <w:rsid w:val="00C47ACF"/>
    <w:rsid w:val="00C6493A"/>
    <w:rsid w:val="00C6659C"/>
    <w:rsid w:val="00C85969"/>
    <w:rsid w:val="00CD1578"/>
    <w:rsid w:val="00CE55AE"/>
    <w:rsid w:val="00CE6A13"/>
    <w:rsid w:val="00CE7E55"/>
    <w:rsid w:val="00CE7FA3"/>
    <w:rsid w:val="00CF506D"/>
    <w:rsid w:val="00D0138C"/>
    <w:rsid w:val="00D1226C"/>
    <w:rsid w:val="00D139A2"/>
    <w:rsid w:val="00D16764"/>
    <w:rsid w:val="00D2402F"/>
    <w:rsid w:val="00D340F6"/>
    <w:rsid w:val="00D37867"/>
    <w:rsid w:val="00D73EFB"/>
    <w:rsid w:val="00D9368B"/>
    <w:rsid w:val="00DA02BE"/>
    <w:rsid w:val="00DA0DF8"/>
    <w:rsid w:val="00DA6CCE"/>
    <w:rsid w:val="00DB2C44"/>
    <w:rsid w:val="00DB3992"/>
    <w:rsid w:val="00DC45B6"/>
    <w:rsid w:val="00DD7604"/>
    <w:rsid w:val="00DF3ECE"/>
    <w:rsid w:val="00E278F1"/>
    <w:rsid w:val="00E44EC7"/>
    <w:rsid w:val="00E52453"/>
    <w:rsid w:val="00E57B3A"/>
    <w:rsid w:val="00E643A6"/>
    <w:rsid w:val="00E66DCA"/>
    <w:rsid w:val="00E73376"/>
    <w:rsid w:val="00E7420F"/>
    <w:rsid w:val="00E753DC"/>
    <w:rsid w:val="00E81C69"/>
    <w:rsid w:val="00E87CD9"/>
    <w:rsid w:val="00EA5905"/>
    <w:rsid w:val="00EB1834"/>
    <w:rsid w:val="00EB7E4E"/>
    <w:rsid w:val="00EC5221"/>
    <w:rsid w:val="00EE410C"/>
    <w:rsid w:val="00EE4D4D"/>
    <w:rsid w:val="00EE76FE"/>
    <w:rsid w:val="00EF445D"/>
    <w:rsid w:val="00F00975"/>
    <w:rsid w:val="00F06D75"/>
    <w:rsid w:val="00F227F3"/>
    <w:rsid w:val="00F34F01"/>
    <w:rsid w:val="00F36D27"/>
    <w:rsid w:val="00F54164"/>
    <w:rsid w:val="00F6732C"/>
    <w:rsid w:val="00F7027F"/>
    <w:rsid w:val="00F74E34"/>
    <w:rsid w:val="00F916A3"/>
    <w:rsid w:val="00FA17CC"/>
    <w:rsid w:val="00FC64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151795051">
      <w:bodyDiv w:val="1"/>
      <w:marLeft w:val="0"/>
      <w:marRight w:val="0"/>
      <w:marTop w:val="0"/>
      <w:marBottom w:val="0"/>
      <w:divBdr>
        <w:top w:val="none" w:sz="0" w:space="0" w:color="auto"/>
        <w:left w:val="none" w:sz="0" w:space="0" w:color="auto"/>
        <w:bottom w:val="none" w:sz="0" w:space="0" w:color="auto"/>
        <w:right w:val="none" w:sz="0" w:space="0" w:color="auto"/>
      </w:divBdr>
    </w:div>
    <w:div w:id="195049986">
      <w:bodyDiv w:val="1"/>
      <w:marLeft w:val="0"/>
      <w:marRight w:val="0"/>
      <w:marTop w:val="0"/>
      <w:marBottom w:val="0"/>
      <w:divBdr>
        <w:top w:val="none" w:sz="0" w:space="0" w:color="auto"/>
        <w:left w:val="none" w:sz="0" w:space="0" w:color="auto"/>
        <w:bottom w:val="none" w:sz="0" w:space="0" w:color="auto"/>
        <w:right w:val="none" w:sz="0" w:space="0" w:color="auto"/>
      </w:divBdr>
    </w:div>
    <w:div w:id="225607219">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249776235">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304967635">
      <w:bodyDiv w:val="1"/>
      <w:marLeft w:val="0"/>
      <w:marRight w:val="0"/>
      <w:marTop w:val="0"/>
      <w:marBottom w:val="0"/>
      <w:divBdr>
        <w:top w:val="none" w:sz="0" w:space="0" w:color="auto"/>
        <w:left w:val="none" w:sz="0" w:space="0" w:color="auto"/>
        <w:bottom w:val="none" w:sz="0" w:space="0" w:color="auto"/>
        <w:right w:val="none" w:sz="0" w:space="0" w:color="auto"/>
      </w:divBdr>
    </w:div>
    <w:div w:id="356587471">
      <w:bodyDiv w:val="1"/>
      <w:marLeft w:val="0"/>
      <w:marRight w:val="0"/>
      <w:marTop w:val="0"/>
      <w:marBottom w:val="0"/>
      <w:divBdr>
        <w:top w:val="none" w:sz="0" w:space="0" w:color="auto"/>
        <w:left w:val="none" w:sz="0" w:space="0" w:color="auto"/>
        <w:bottom w:val="none" w:sz="0" w:space="0" w:color="auto"/>
        <w:right w:val="none" w:sz="0" w:space="0" w:color="auto"/>
      </w:divBdr>
    </w:div>
    <w:div w:id="432476750">
      <w:bodyDiv w:val="1"/>
      <w:marLeft w:val="0"/>
      <w:marRight w:val="0"/>
      <w:marTop w:val="0"/>
      <w:marBottom w:val="0"/>
      <w:divBdr>
        <w:top w:val="none" w:sz="0" w:space="0" w:color="auto"/>
        <w:left w:val="none" w:sz="0" w:space="0" w:color="auto"/>
        <w:bottom w:val="none" w:sz="0" w:space="0" w:color="auto"/>
        <w:right w:val="none" w:sz="0" w:space="0" w:color="auto"/>
      </w:divBdr>
    </w:div>
    <w:div w:id="439228292">
      <w:bodyDiv w:val="1"/>
      <w:marLeft w:val="0"/>
      <w:marRight w:val="0"/>
      <w:marTop w:val="0"/>
      <w:marBottom w:val="0"/>
      <w:divBdr>
        <w:top w:val="none" w:sz="0" w:space="0" w:color="auto"/>
        <w:left w:val="none" w:sz="0" w:space="0" w:color="auto"/>
        <w:bottom w:val="none" w:sz="0" w:space="0" w:color="auto"/>
        <w:right w:val="none" w:sz="0" w:space="0" w:color="auto"/>
      </w:divBdr>
    </w:div>
    <w:div w:id="521937452">
      <w:bodyDiv w:val="1"/>
      <w:marLeft w:val="0"/>
      <w:marRight w:val="0"/>
      <w:marTop w:val="0"/>
      <w:marBottom w:val="0"/>
      <w:divBdr>
        <w:top w:val="none" w:sz="0" w:space="0" w:color="auto"/>
        <w:left w:val="none" w:sz="0" w:space="0" w:color="auto"/>
        <w:bottom w:val="none" w:sz="0" w:space="0" w:color="auto"/>
        <w:right w:val="none" w:sz="0" w:space="0" w:color="auto"/>
      </w:divBdr>
    </w:div>
    <w:div w:id="529420746">
      <w:bodyDiv w:val="1"/>
      <w:marLeft w:val="0"/>
      <w:marRight w:val="0"/>
      <w:marTop w:val="0"/>
      <w:marBottom w:val="0"/>
      <w:divBdr>
        <w:top w:val="none" w:sz="0" w:space="0" w:color="auto"/>
        <w:left w:val="none" w:sz="0" w:space="0" w:color="auto"/>
        <w:bottom w:val="none" w:sz="0" w:space="0" w:color="auto"/>
        <w:right w:val="none" w:sz="0" w:space="0" w:color="auto"/>
      </w:divBdr>
    </w:div>
    <w:div w:id="626401077">
      <w:bodyDiv w:val="1"/>
      <w:marLeft w:val="0"/>
      <w:marRight w:val="0"/>
      <w:marTop w:val="0"/>
      <w:marBottom w:val="0"/>
      <w:divBdr>
        <w:top w:val="none" w:sz="0" w:space="0" w:color="auto"/>
        <w:left w:val="none" w:sz="0" w:space="0" w:color="auto"/>
        <w:bottom w:val="none" w:sz="0" w:space="0" w:color="auto"/>
        <w:right w:val="none" w:sz="0" w:space="0" w:color="auto"/>
      </w:divBdr>
    </w:div>
    <w:div w:id="640305985">
      <w:bodyDiv w:val="1"/>
      <w:marLeft w:val="0"/>
      <w:marRight w:val="0"/>
      <w:marTop w:val="0"/>
      <w:marBottom w:val="0"/>
      <w:divBdr>
        <w:top w:val="none" w:sz="0" w:space="0" w:color="auto"/>
        <w:left w:val="none" w:sz="0" w:space="0" w:color="auto"/>
        <w:bottom w:val="none" w:sz="0" w:space="0" w:color="auto"/>
        <w:right w:val="none" w:sz="0" w:space="0" w:color="auto"/>
      </w:divBdr>
    </w:div>
    <w:div w:id="685139414">
      <w:bodyDiv w:val="1"/>
      <w:marLeft w:val="0"/>
      <w:marRight w:val="0"/>
      <w:marTop w:val="0"/>
      <w:marBottom w:val="0"/>
      <w:divBdr>
        <w:top w:val="none" w:sz="0" w:space="0" w:color="auto"/>
        <w:left w:val="none" w:sz="0" w:space="0" w:color="auto"/>
        <w:bottom w:val="none" w:sz="0" w:space="0" w:color="auto"/>
        <w:right w:val="none" w:sz="0" w:space="0" w:color="auto"/>
      </w:divBdr>
    </w:div>
    <w:div w:id="800730298">
      <w:bodyDiv w:val="1"/>
      <w:marLeft w:val="0"/>
      <w:marRight w:val="0"/>
      <w:marTop w:val="0"/>
      <w:marBottom w:val="0"/>
      <w:divBdr>
        <w:top w:val="none" w:sz="0" w:space="0" w:color="auto"/>
        <w:left w:val="none" w:sz="0" w:space="0" w:color="auto"/>
        <w:bottom w:val="none" w:sz="0" w:space="0" w:color="auto"/>
        <w:right w:val="none" w:sz="0" w:space="0" w:color="auto"/>
      </w:divBdr>
    </w:div>
    <w:div w:id="820930821">
      <w:bodyDiv w:val="1"/>
      <w:marLeft w:val="0"/>
      <w:marRight w:val="0"/>
      <w:marTop w:val="0"/>
      <w:marBottom w:val="0"/>
      <w:divBdr>
        <w:top w:val="none" w:sz="0" w:space="0" w:color="auto"/>
        <w:left w:val="none" w:sz="0" w:space="0" w:color="auto"/>
        <w:bottom w:val="none" w:sz="0" w:space="0" w:color="auto"/>
        <w:right w:val="none" w:sz="0" w:space="0" w:color="auto"/>
      </w:divBdr>
    </w:div>
    <w:div w:id="838928568">
      <w:bodyDiv w:val="1"/>
      <w:marLeft w:val="0"/>
      <w:marRight w:val="0"/>
      <w:marTop w:val="0"/>
      <w:marBottom w:val="0"/>
      <w:divBdr>
        <w:top w:val="none" w:sz="0" w:space="0" w:color="auto"/>
        <w:left w:val="none" w:sz="0" w:space="0" w:color="auto"/>
        <w:bottom w:val="none" w:sz="0" w:space="0" w:color="auto"/>
        <w:right w:val="none" w:sz="0" w:space="0" w:color="auto"/>
      </w:divBdr>
    </w:div>
    <w:div w:id="867107794">
      <w:bodyDiv w:val="1"/>
      <w:marLeft w:val="0"/>
      <w:marRight w:val="0"/>
      <w:marTop w:val="0"/>
      <w:marBottom w:val="0"/>
      <w:divBdr>
        <w:top w:val="none" w:sz="0" w:space="0" w:color="auto"/>
        <w:left w:val="none" w:sz="0" w:space="0" w:color="auto"/>
        <w:bottom w:val="none" w:sz="0" w:space="0" w:color="auto"/>
        <w:right w:val="none" w:sz="0" w:space="0" w:color="auto"/>
      </w:divBdr>
    </w:div>
    <w:div w:id="916787468">
      <w:bodyDiv w:val="1"/>
      <w:marLeft w:val="0"/>
      <w:marRight w:val="0"/>
      <w:marTop w:val="0"/>
      <w:marBottom w:val="0"/>
      <w:divBdr>
        <w:top w:val="none" w:sz="0" w:space="0" w:color="auto"/>
        <w:left w:val="none" w:sz="0" w:space="0" w:color="auto"/>
        <w:bottom w:val="none" w:sz="0" w:space="0" w:color="auto"/>
        <w:right w:val="none" w:sz="0" w:space="0" w:color="auto"/>
      </w:divBdr>
    </w:div>
    <w:div w:id="949124126">
      <w:bodyDiv w:val="1"/>
      <w:marLeft w:val="0"/>
      <w:marRight w:val="0"/>
      <w:marTop w:val="0"/>
      <w:marBottom w:val="0"/>
      <w:divBdr>
        <w:top w:val="none" w:sz="0" w:space="0" w:color="auto"/>
        <w:left w:val="none" w:sz="0" w:space="0" w:color="auto"/>
        <w:bottom w:val="none" w:sz="0" w:space="0" w:color="auto"/>
        <w:right w:val="none" w:sz="0" w:space="0" w:color="auto"/>
      </w:divBdr>
    </w:div>
    <w:div w:id="962492474">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028287974">
      <w:bodyDiv w:val="1"/>
      <w:marLeft w:val="0"/>
      <w:marRight w:val="0"/>
      <w:marTop w:val="0"/>
      <w:marBottom w:val="0"/>
      <w:divBdr>
        <w:top w:val="none" w:sz="0" w:space="0" w:color="auto"/>
        <w:left w:val="none" w:sz="0" w:space="0" w:color="auto"/>
        <w:bottom w:val="none" w:sz="0" w:space="0" w:color="auto"/>
        <w:right w:val="none" w:sz="0" w:space="0" w:color="auto"/>
      </w:divBdr>
    </w:div>
    <w:div w:id="1089275222">
      <w:bodyDiv w:val="1"/>
      <w:marLeft w:val="0"/>
      <w:marRight w:val="0"/>
      <w:marTop w:val="0"/>
      <w:marBottom w:val="0"/>
      <w:divBdr>
        <w:top w:val="none" w:sz="0" w:space="0" w:color="auto"/>
        <w:left w:val="none" w:sz="0" w:space="0" w:color="auto"/>
        <w:bottom w:val="none" w:sz="0" w:space="0" w:color="auto"/>
        <w:right w:val="none" w:sz="0" w:space="0" w:color="auto"/>
      </w:divBdr>
    </w:div>
    <w:div w:id="1142581482">
      <w:bodyDiv w:val="1"/>
      <w:marLeft w:val="0"/>
      <w:marRight w:val="0"/>
      <w:marTop w:val="0"/>
      <w:marBottom w:val="0"/>
      <w:divBdr>
        <w:top w:val="none" w:sz="0" w:space="0" w:color="auto"/>
        <w:left w:val="none" w:sz="0" w:space="0" w:color="auto"/>
        <w:bottom w:val="none" w:sz="0" w:space="0" w:color="auto"/>
        <w:right w:val="none" w:sz="0" w:space="0" w:color="auto"/>
      </w:divBdr>
    </w:div>
    <w:div w:id="1186796547">
      <w:bodyDiv w:val="1"/>
      <w:marLeft w:val="0"/>
      <w:marRight w:val="0"/>
      <w:marTop w:val="0"/>
      <w:marBottom w:val="0"/>
      <w:divBdr>
        <w:top w:val="none" w:sz="0" w:space="0" w:color="auto"/>
        <w:left w:val="none" w:sz="0" w:space="0" w:color="auto"/>
        <w:bottom w:val="none" w:sz="0" w:space="0" w:color="auto"/>
        <w:right w:val="none" w:sz="0" w:space="0" w:color="auto"/>
      </w:divBdr>
    </w:div>
    <w:div w:id="1225531140">
      <w:bodyDiv w:val="1"/>
      <w:marLeft w:val="0"/>
      <w:marRight w:val="0"/>
      <w:marTop w:val="0"/>
      <w:marBottom w:val="0"/>
      <w:divBdr>
        <w:top w:val="none" w:sz="0" w:space="0" w:color="auto"/>
        <w:left w:val="none" w:sz="0" w:space="0" w:color="auto"/>
        <w:bottom w:val="none" w:sz="0" w:space="0" w:color="auto"/>
        <w:right w:val="none" w:sz="0" w:space="0" w:color="auto"/>
      </w:divBdr>
    </w:div>
    <w:div w:id="1243292502">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274747791">
      <w:bodyDiv w:val="1"/>
      <w:marLeft w:val="0"/>
      <w:marRight w:val="0"/>
      <w:marTop w:val="0"/>
      <w:marBottom w:val="0"/>
      <w:divBdr>
        <w:top w:val="none" w:sz="0" w:space="0" w:color="auto"/>
        <w:left w:val="none" w:sz="0" w:space="0" w:color="auto"/>
        <w:bottom w:val="none" w:sz="0" w:space="0" w:color="auto"/>
        <w:right w:val="none" w:sz="0" w:space="0" w:color="auto"/>
      </w:divBdr>
    </w:div>
    <w:div w:id="1305354285">
      <w:bodyDiv w:val="1"/>
      <w:marLeft w:val="0"/>
      <w:marRight w:val="0"/>
      <w:marTop w:val="0"/>
      <w:marBottom w:val="0"/>
      <w:divBdr>
        <w:top w:val="none" w:sz="0" w:space="0" w:color="auto"/>
        <w:left w:val="none" w:sz="0" w:space="0" w:color="auto"/>
        <w:bottom w:val="none" w:sz="0" w:space="0" w:color="auto"/>
        <w:right w:val="none" w:sz="0" w:space="0" w:color="auto"/>
      </w:divBdr>
    </w:div>
    <w:div w:id="1315719825">
      <w:bodyDiv w:val="1"/>
      <w:marLeft w:val="0"/>
      <w:marRight w:val="0"/>
      <w:marTop w:val="0"/>
      <w:marBottom w:val="0"/>
      <w:divBdr>
        <w:top w:val="none" w:sz="0" w:space="0" w:color="auto"/>
        <w:left w:val="none" w:sz="0" w:space="0" w:color="auto"/>
        <w:bottom w:val="none" w:sz="0" w:space="0" w:color="auto"/>
        <w:right w:val="none" w:sz="0" w:space="0" w:color="auto"/>
      </w:divBdr>
    </w:div>
    <w:div w:id="1401633157">
      <w:bodyDiv w:val="1"/>
      <w:marLeft w:val="0"/>
      <w:marRight w:val="0"/>
      <w:marTop w:val="0"/>
      <w:marBottom w:val="0"/>
      <w:divBdr>
        <w:top w:val="none" w:sz="0" w:space="0" w:color="auto"/>
        <w:left w:val="none" w:sz="0" w:space="0" w:color="auto"/>
        <w:bottom w:val="none" w:sz="0" w:space="0" w:color="auto"/>
        <w:right w:val="none" w:sz="0" w:space="0" w:color="auto"/>
      </w:divBdr>
    </w:div>
    <w:div w:id="1403404582">
      <w:bodyDiv w:val="1"/>
      <w:marLeft w:val="0"/>
      <w:marRight w:val="0"/>
      <w:marTop w:val="0"/>
      <w:marBottom w:val="0"/>
      <w:divBdr>
        <w:top w:val="none" w:sz="0" w:space="0" w:color="auto"/>
        <w:left w:val="none" w:sz="0" w:space="0" w:color="auto"/>
        <w:bottom w:val="none" w:sz="0" w:space="0" w:color="auto"/>
        <w:right w:val="none" w:sz="0" w:space="0" w:color="auto"/>
      </w:divBdr>
    </w:div>
    <w:div w:id="1422871577">
      <w:bodyDiv w:val="1"/>
      <w:marLeft w:val="0"/>
      <w:marRight w:val="0"/>
      <w:marTop w:val="0"/>
      <w:marBottom w:val="0"/>
      <w:divBdr>
        <w:top w:val="none" w:sz="0" w:space="0" w:color="auto"/>
        <w:left w:val="none" w:sz="0" w:space="0" w:color="auto"/>
        <w:bottom w:val="none" w:sz="0" w:space="0" w:color="auto"/>
        <w:right w:val="none" w:sz="0" w:space="0" w:color="auto"/>
      </w:divBdr>
    </w:div>
    <w:div w:id="1481656432">
      <w:bodyDiv w:val="1"/>
      <w:marLeft w:val="0"/>
      <w:marRight w:val="0"/>
      <w:marTop w:val="0"/>
      <w:marBottom w:val="0"/>
      <w:divBdr>
        <w:top w:val="none" w:sz="0" w:space="0" w:color="auto"/>
        <w:left w:val="none" w:sz="0" w:space="0" w:color="auto"/>
        <w:bottom w:val="none" w:sz="0" w:space="0" w:color="auto"/>
        <w:right w:val="none" w:sz="0" w:space="0" w:color="auto"/>
      </w:divBdr>
    </w:div>
    <w:div w:id="1527137624">
      <w:bodyDiv w:val="1"/>
      <w:marLeft w:val="0"/>
      <w:marRight w:val="0"/>
      <w:marTop w:val="0"/>
      <w:marBottom w:val="0"/>
      <w:divBdr>
        <w:top w:val="none" w:sz="0" w:space="0" w:color="auto"/>
        <w:left w:val="none" w:sz="0" w:space="0" w:color="auto"/>
        <w:bottom w:val="none" w:sz="0" w:space="0" w:color="auto"/>
        <w:right w:val="none" w:sz="0" w:space="0" w:color="auto"/>
      </w:divBdr>
    </w:div>
    <w:div w:id="1548838048">
      <w:bodyDiv w:val="1"/>
      <w:marLeft w:val="0"/>
      <w:marRight w:val="0"/>
      <w:marTop w:val="0"/>
      <w:marBottom w:val="0"/>
      <w:divBdr>
        <w:top w:val="none" w:sz="0" w:space="0" w:color="auto"/>
        <w:left w:val="none" w:sz="0" w:space="0" w:color="auto"/>
        <w:bottom w:val="none" w:sz="0" w:space="0" w:color="auto"/>
        <w:right w:val="none" w:sz="0" w:space="0" w:color="auto"/>
      </w:divBdr>
    </w:div>
    <w:div w:id="1575971851">
      <w:bodyDiv w:val="1"/>
      <w:marLeft w:val="0"/>
      <w:marRight w:val="0"/>
      <w:marTop w:val="0"/>
      <w:marBottom w:val="0"/>
      <w:divBdr>
        <w:top w:val="none" w:sz="0" w:space="0" w:color="auto"/>
        <w:left w:val="none" w:sz="0" w:space="0" w:color="auto"/>
        <w:bottom w:val="none" w:sz="0" w:space="0" w:color="auto"/>
        <w:right w:val="none" w:sz="0" w:space="0" w:color="auto"/>
      </w:divBdr>
    </w:div>
    <w:div w:id="1581526533">
      <w:bodyDiv w:val="1"/>
      <w:marLeft w:val="0"/>
      <w:marRight w:val="0"/>
      <w:marTop w:val="0"/>
      <w:marBottom w:val="0"/>
      <w:divBdr>
        <w:top w:val="none" w:sz="0" w:space="0" w:color="auto"/>
        <w:left w:val="none" w:sz="0" w:space="0" w:color="auto"/>
        <w:bottom w:val="none" w:sz="0" w:space="0" w:color="auto"/>
        <w:right w:val="none" w:sz="0" w:space="0" w:color="auto"/>
      </w:divBdr>
    </w:div>
    <w:div w:id="1590313935">
      <w:bodyDiv w:val="1"/>
      <w:marLeft w:val="0"/>
      <w:marRight w:val="0"/>
      <w:marTop w:val="0"/>
      <w:marBottom w:val="0"/>
      <w:divBdr>
        <w:top w:val="none" w:sz="0" w:space="0" w:color="auto"/>
        <w:left w:val="none" w:sz="0" w:space="0" w:color="auto"/>
        <w:bottom w:val="none" w:sz="0" w:space="0" w:color="auto"/>
        <w:right w:val="none" w:sz="0" w:space="0" w:color="auto"/>
      </w:divBdr>
    </w:div>
    <w:div w:id="1596286221">
      <w:bodyDiv w:val="1"/>
      <w:marLeft w:val="0"/>
      <w:marRight w:val="0"/>
      <w:marTop w:val="0"/>
      <w:marBottom w:val="0"/>
      <w:divBdr>
        <w:top w:val="none" w:sz="0" w:space="0" w:color="auto"/>
        <w:left w:val="none" w:sz="0" w:space="0" w:color="auto"/>
        <w:bottom w:val="none" w:sz="0" w:space="0" w:color="auto"/>
        <w:right w:val="none" w:sz="0" w:space="0" w:color="auto"/>
      </w:divBdr>
    </w:div>
    <w:div w:id="1623346099">
      <w:bodyDiv w:val="1"/>
      <w:marLeft w:val="0"/>
      <w:marRight w:val="0"/>
      <w:marTop w:val="0"/>
      <w:marBottom w:val="0"/>
      <w:divBdr>
        <w:top w:val="none" w:sz="0" w:space="0" w:color="auto"/>
        <w:left w:val="none" w:sz="0" w:space="0" w:color="auto"/>
        <w:bottom w:val="none" w:sz="0" w:space="0" w:color="auto"/>
        <w:right w:val="none" w:sz="0" w:space="0" w:color="auto"/>
      </w:divBdr>
    </w:div>
    <w:div w:id="163919039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754165072">
      <w:bodyDiv w:val="1"/>
      <w:marLeft w:val="0"/>
      <w:marRight w:val="0"/>
      <w:marTop w:val="0"/>
      <w:marBottom w:val="0"/>
      <w:divBdr>
        <w:top w:val="none" w:sz="0" w:space="0" w:color="auto"/>
        <w:left w:val="none" w:sz="0" w:space="0" w:color="auto"/>
        <w:bottom w:val="none" w:sz="0" w:space="0" w:color="auto"/>
        <w:right w:val="none" w:sz="0" w:space="0" w:color="auto"/>
      </w:divBdr>
    </w:div>
    <w:div w:id="1780175940">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16157762">
      <w:bodyDiv w:val="1"/>
      <w:marLeft w:val="0"/>
      <w:marRight w:val="0"/>
      <w:marTop w:val="0"/>
      <w:marBottom w:val="0"/>
      <w:divBdr>
        <w:top w:val="none" w:sz="0" w:space="0" w:color="auto"/>
        <w:left w:val="none" w:sz="0" w:space="0" w:color="auto"/>
        <w:bottom w:val="none" w:sz="0" w:space="0" w:color="auto"/>
        <w:right w:val="none" w:sz="0" w:space="0" w:color="auto"/>
      </w:divBdr>
    </w:div>
    <w:div w:id="1947538563">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 w:id="1996446943">
      <w:bodyDiv w:val="1"/>
      <w:marLeft w:val="0"/>
      <w:marRight w:val="0"/>
      <w:marTop w:val="0"/>
      <w:marBottom w:val="0"/>
      <w:divBdr>
        <w:top w:val="none" w:sz="0" w:space="0" w:color="auto"/>
        <w:left w:val="none" w:sz="0" w:space="0" w:color="auto"/>
        <w:bottom w:val="none" w:sz="0" w:space="0" w:color="auto"/>
        <w:right w:val="none" w:sz="0" w:space="0" w:color="auto"/>
      </w:divBdr>
    </w:div>
    <w:div w:id="2068651405">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80326998">
      <w:bodyDiv w:val="1"/>
      <w:marLeft w:val="0"/>
      <w:marRight w:val="0"/>
      <w:marTop w:val="0"/>
      <w:marBottom w:val="0"/>
      <w:divBdr>
        <w:top w:val="none" w:sz="0" w:space="0" w:color="auto"/>
        <w:left w:val="none" w:sz="0" w:space="0" w:color="auto"/>
        <w:bottom w:val="none" w:sz="0" w:space="0" w:color="auto"/>
        <w:right w:val="none" w:sz="0" w:space="0" w:color="auto"/>
      </w:divBdr>
    </w:div>
    <w:div w:id="2124618335">
      <w:bodyDiv w:val="1"/>
      <w:marLeft w:val="0"/>
      <w:marRight w:val="0"/>
      <w:marTop w:val="0"/>
      <w:marBottom w:val="0"/>
      <w:divBdr>
        <w:top w:val="none" w:sz="0" w:space="0" w:color="auto"/>
        <w:left w:val="none" w:sz="0" w:space="0" w:color="auto"/>
        <w:bottom w:val="none" w:sz="0" w:space="0" w:color="auto"/>
        <w:right w:val="none" w:sz="0" w:space="0" w:color="auto"/>
      </w:divBdr>
    </w:div>
    <w:div w:id="214646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de población (CEDEMAR)</a:t>
            </a:r>
            <a:endParaRPr lang="es-ES" sz="1400"/>
          </a:p>
        </c:rich>
      </c:tx>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2.0015682390326441E-2</c:v>
                </c:pt>
                <c:pt idx="1">
                  <c:v>2.0139490735008873E-2</c:v>
                </c:pt>
                <c:pt idx="2">
                  <c:v>2.1748999215880485E-2</c:v>
                </c:pt>
                <c:pt idx="3">
                  <c:v>2.0428376872601212E-2</c:v>
                </c:pt>
                <c:pt idx="4">
                  <c:v>2.3977549420164251E-2</c:v>
                </c:pt>
                <c:pt idx="5">
                  <c:v>2.872353596632413E-2</c:v>
                </c:pt>
                <c:pt idx="6">
                  <c:v>3.181874458338492E-2</c:v>
                </c:pt>
                <c:pt idx="7">
                  <c:v>3.1447319549337625E-2</c:v>
                </c:pt>
                <c:pt idx="8">
                  <c:v>3.2025091824522303E-2</c:v>
                </c:pt>
                <c:pt idx="9">
                  <c:v>3.1612397342247536E-2</c:v>
                </c:pt>
                <c:pt idx="10">
                  <c:v>3.441871982171598E-2</c:v>
                </c:pt>
                <c:pt idx="11">
                  <c:v>2.9342577689736287E-2</c:v>
                </c:pt>
                <c:pt idx="12">
                  <c:v>2.9218769345053856E-2</c:v>
                </c:pt>
                <c:pt idx="13">
                  <c:v>2.4142627213074162E-2</c:v>
                </c:pt>
                <c:pt idx="14">
                  <c:v>1.989187404564401E-2</c:v>
                </c:pt>
                <c:pt idx="15">
                  <c:v>2.8434649828731791E-2</c:v>
                </c:pt>
                <c:pt idx="16">
                  <c:v>2.476166893648632E-2</c:v>
                </c:pt>
                <c:pt idx="17">
                  <c:v>1.8076018323635014E-2</c:v>
                </c:pt>
                <c:pt idx="18">
                  <c:v>7.3872312327184185E-3</c:v>
                </c:pt>
                <c:pt idx="19">
                  <c:v>2.104741859601337E-3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-2.29870826627048E-2</c:v>
                </c:pt>
                <c:pt idx="1">
                  <c:v>-2.3234699352069663E-2</c:v>
                </c:pt>
                <c:pt idx="2">
                  <c:v>-2.29870826627048E-2</c:v>
                </c:pt>
                <c:pt idx="3">
                  <c:v>-2.339977714497957E-2</c:v>
                </c:pt>
                <c:pt idx="4">
                  <c:v>-2.6164830176220545E-2</c:v>
                </c:pt>
                <c:pt idx="5">
                  <c:v>-3.2272708513887166E-2</c:v>
                </c:pt>
                <c:pt idx="6">
                  <c:v>-4.1971028847344313E-2</c:v>
                </c:pt>
                <c:pt idx="7">
                  <c:v>-4.238372332961908E-2</c:v>
                </c:pt>
                <c:pt idx="8">
                  <c:v>-4.0691675952292519E-2</c:v>
                </c:pt>
                <c:pt idx="9">
                  <c:v>-3.8421856299781273E-2</c:v>
                </c:pt>
                <c:pt idx="10">
                  <c:v>-3.6399653336634891E-2</c:v>
                </c:pt>
                <c:pt idx="11">
                  <c:v>-3.3634600305393919E-2</c:v>
                </c:pt>
                <c:pt idx="12">
                  <c:v>-2.8434649828731791E-2</c:v>
                </c:pt>
                <c:pt idx="13">
                  <c:v>-2.6453716313812884E-2</c:v>
                </c:pt>
                <c:pt idx="14">
                  <c:v>-2.0841071354875985E-2</c:v>
                </c:pt>
                <c:pt idx="15">
                  <c:v>-2.4348974454211546E-2</c:v>
                </c:pt>
                <c:pt idx="16">
                  <c:v>-1.9231562874004373E-2</c:v>
                </c:pt>
                <c:pt idx="17">
                  <c:v>-1.0730056539144071E-2</c:v>
                </c:pt>
                <c:pt idx="18">
                  <c:v>-4.6221782014774461E-3</c:v>
                </c:pt>
                <c:pt idx="19">
                  <c:v>-1.0730056539144071E-3</c:v>
                </c:pt>
              </c:numCache>
            </c:numRef>
          </c:val>
        </c:ser>
        <c:dLbls>
          <c:showLegendKey val="0"/>
          <c:showVal val="0"/>
          <c:showCatName val="0"/>
          <c:showSerName val="0"/>
          <c:showPercent val="0"/>
          <c:showBubbleSize val="0"/>
        </c:dLbls>
        <c:gapWidth val="150"/>
        <c:axId val="90046976"/>
        <c:axId val="63026816"/>
      </c:barChart>
      <c:catAx>
        <c:axId val="90046976"/>
        <c:scaling>
          <c:orientation val="minMax"/>
        </c:scaling>
        <c:delete val="0"/>
        <c:axPos val="l"/>
        <c:majorTickMark val="out"/>
        <c:minorTickMark val="none"/>
        <c:tickLblPos val="low"/>
        <c:crossAx val="63026816"/>
        <c:crosses val="autoZero"/>
        <c:auto val="1"/>
        <c:lblAlgn val="ctr"/>
        <c:lblOffset val="100"/>
        <c:noMultiLvlLbl val="0"/>
      </c:catAx>
      <c:valAx>
        <c:axId val="63026816"/>
        <c:scaling>
          <c:orientation val="minMax"/>
        </c:scaling>
        <c:delete val="1"/>
        <c:axPos val="b"/>
        <c:majorGridlines/>
        <c:numFmt formatCode="General" sourceLinked="1"/>
        <c:majorTickMark val="out"/>
        <c:minorTickMark val="none"/>
        <c:tickLblPos val="nextTo"/>
        <c:crossAx val="9004697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CEDEMAR</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7.8793327735256866E-2"/>
          <c:y val="0.11023681698878547"/>
          <c:w val="0.89716821072628161"/>
          <c:h val="0.65741618945359104"/>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48</c:v>
                </c:pt>
                <c:pt idx="1">
                  <c:v>221</c:v>
                </c:pt>
                <c:pt idx="2">
                  <c:v>441</c:v>
                </c:pt>
                <c:pt idx="3">
                  <c:v>633</c:v>
                </c:pt>
                <c:pt idx="4">
                  <c:v>857</c:v>
                </c:pt>
                <c:pt idx="5">
                  <c:v>831</c:v>
                </c:pt>
                <c:pt idx="6">
                  <c:v>731</c:v>
                </c:pt>
                <c:pt idx="7">
                  <c:v>692</c:v>
                </c:pt>
                <c:pt idx="8">
                  <c:v>523</c:v>
                </c:pt>
                <c:pt idx="9">
                  <c:v>322</c:v>
                </c:pt>
                <c:pt idx="10">
                  <c:v>33</c:v>
                </c:pt>
                <c:pt idx="11">
                  <c:v>3</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33</c:v>
                </c:pt>
                <c:pt idx="1">
                  <c:v>153</c:v>
                </c:pt>
                <c:pt idx="2">
                  <c:v>279</c:v>
                </c:pt>
                <c:pt idx="3">
                  <c:v>397</c:v>
                </c:pt>
                <c:pt idx="4">
                  <c:v>562</c:v>
                </c:pt>
                <c:pt idx="5">
                  <c:v>601</c:v>
                </c:pt>
                <c:pt idx="6">
                  <c:v>576</c:v>
                </c:pt>
                <c:pt idx="7">
                  <c:v>458</c:v>
                </c:pt>
                <c:pt idx="8">
                  <c:v>359</c:v>
                </c:pt>
                <c:pt idx="9">
                  <c:v>230</c:v>
                </c:pt>
                <c:pt idx="10">
                  <c:v>22</c:v>
                </c:pt>
                <c:pt idx="11">
                  <c:v>2</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81</c:v>
                </c:pt>
                <c:pt idx="1">
                  <c:v>374</c:v>
                </c:pt>
                <c:pt idx="2">
                  <c:v>720</c:v>
                </c:pt>
                <c:pt idx="3">
                  <c:v>1030</c:v>
                </c:pt>
                <c:pt idx="4">
                  <c:v>1419</c:v>
                </c:pt>
                <c:pt idx="5">
                  <c:v>1432</c:v>
                </c:pt>
                <c:pt idx="6">
                  <c:v>1307</c:v>
                </c:pt>
                <c:pt idx="7">
                  <c:v>1150</c:v>
                </c:pt>
                <c:pt idx="8">
                  <c:v>882</c:v>
                </c:pt>
                <c:pt idx="9">
                  <c:v>552</c:v>
                </c:pt>
                <c:pt idx="10">
                  <c:v>55</c:v>
                </c:pt>
                <c:pt idx="11">
                  <c:v>5</c:v>
                </c:pt>
              </c:numCache>
            </c:numRef>
          </c:val>
        </c:ser>
        <c:dLbls>
          <c:showLegendKey val="0"/>
          <c:showVal val="0"/>
          <c:showCatName val="0"/>
          <c:showSerName val="0"/>
          <c:showPercent val="0"/>
          <c:showBubbleSize val="0"/>
        </c:dLbls>
        <c:gapWidth val="150"/>
        <c:axId val="90753536"/>
        <c:axId val="90787200"/>
      </c:barChart>
      <c:catAx>
        <c:axId val="90753536"/>
        <c:scaling>
          <c:orientation val="minMax"/>
        </c:scaling>
        <c:delete val="0"/>
        <c:axPos val="b"/>
        <c:majorTickMark val="out"/>
        <c:minorTickMark val="none"/>
        <c:tickLblPos val="nextTo"/>
        <c:crossAx val="90787200"/>
        <c:crosses val="autoZero"/>
        <c:auto val="1"/>
        <c:lblAlgn val="ctr"/>
        <c:lblOffset val="100"/>
        <c:noMultiLvlLbl val="0"/>
      </c:catAx>
      <c:valAx>
        <c:axId val="90787200"/>
        <c:scaling>
          <c:orientation val="minMax"/>
        </c:scaling>
        <c:delete val="0"/>
        <c:axPos val="l"/>
        <c:majorGridlines/>
        <c:numFmt formatCode="General" sourceLinked="1"/>
        <c:majorTickMark val="out"/>
        <c:minorTickMark val="none"/>
        <c:tickLblPos val="nextTo"/>
        <c:crossAx val="9075353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CEDEMAR</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7.7975403917935865E-2"/>
          <c:y val="0.10121983743967487"/>
          <c:w val="0.89823566874642402"/>
          <c:h val="0.65144304038608081"/>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110</c:v>
                </c:pt>
                <c:pt idx="1">
                  <c:v>364</c:v>
                </c:pt>
                <c:pt idx="2">
                  <c:v>572</c:v>
                </c:pt>
                <c:pt idx="3">
                  <c:v>843</c:v>
                </c:pt>
                <c:pt idx="4">
                  <c:v>1072</c:v>
                </c:pt>
                <c:pt idx="5">
                  <c:v>1021</c:v>
                </c:pt>
                <c:pt idx="6">
                  <c:v>865</c:v>
                </c:pt>
                <c:pt idx="7">
                  <c:v>750</c:v>
                </c:pt>
                <c:pt idx="8">
                  <c:v>562</c:v>
                </c:pt>
                <c:pt idx="9">
                  <c:v>333</c:v>
                </c:pt>
                <c:pt idx="10">
                  <c:v>29</c:v>
                </c:pt>
                <c:pt idx="11">
                  <c:v>3</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53</c:v>
                </c:pt>
                <c:pt idx="1">
                  <c:v>211</c:v>
                </c:pt>
                <c:pt idx="2">
                  <c:v>368</c:v>
                </c:pt>
                <c:pt idx="3">
                  <c:v>491</c:v>
                </c:pt>
                <c:pt idx="4">
                  <c:v>620</c:v>
                </c:pt>
                <c:pt idx="5">
                  <c:v>618</c:v>
                </c:pt>
                <c:pt idx="6">
                  <c:v>605</c:v>
                </c:pt>
                <c:pt idx="7">
                  <c:v>442</c:v>
                </c:pt>
                <c:pt idx="8">
                  <c:v>319</c:v>
                </c:pt>
                <c:pt idx="9">
                  <c:v>213</c:v>
                </c:pt>
                <c:pt idx="10">
                  <c:v>29</c:v>
                </c:pt>
                <c:pt idx="11">
                  <c:v>2</c:v>
                </c:pt>
              </c:numCache>
            </c:numRef>
          </c:val>
        </c:ser>
        <c:dLbls>
          <c:showLegendKey val="0"/>
          <c:showVal val="0"/>
          <c:showCatName val="0"/>
          <c:showSerName val="0"/>
          <c:showPercent val="0"/>
          <c:showBubbleSize val="0"/>
        </c:dLbls>
        <c:gapWidth val="150"/>
        <c:axId val="90753024"/>
        <c:axId val="90788928"/>
      </c:barChart>
      <c:catAx>
        <c:axId val="90753024"/>
        <c:scaling>
          <c:orientation val="minMax"/>
        </c:scaling>
        <c:delete val="0"/>
        <c:axPos val="b"/>
        <c:majorTickMark val="out"/>
        <c:minorTickMark val="none"/>
        <c:tickLblPos val="nextTo"/>
        <c:crossAx val="90788928"/>
        <c:crosses val="autoZero"/>
        <c:auto val="1"/>
        <c:lblAlgn val="ctr"/>
        <c:lblOffset val="100"/>
        <c:noMultiLvlLbl val="0"/>
      </c:catAx>
      <c:valAx>
        <c:axId val="90788928"/>
        <c:scaling>
          <c:orientation val="minMax"/>
        </c:scaling>
        <c:delete val="0"/>
        <c:axPos val="l"/>
        <c:majorGridlines/>
        <c:numFmt formatCode="General" sourceLinked="1"/>
        <c:majorTickMark val="out"/>
        <c:minorTickMark val="none"/>
        <c:tickLblPos val="nextTo"/>
        <c:crossAx val="9075302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
  </c:pivotSource>
  <c:chart>
    <c:title>
      <c:tx>
        <c:rich>
          <a:bodyPr/>
          <a:lstStyle/>
          <a:p>
            <a:pPr>
              <a:defRPr sz="1400"/>
            </a:pPr>
            <a:r>
              <a:rPr lang="es-ES" sz="1400"/>
              <a:t>Altas</a:t>
            </a:r>
            <a:r>
              <a:rPr lang="es-ES" sz="1400" baseline="0"/>
              <a:t> por sector y grupo</a:t>
            </a:r>
            <a:endParaRPr lang="es-ES" sz="1400"/>
          </a:p>
        </c:rich>
      </c:tx>
      <c:layout>
        <c:manualLayout>
          <c:xMode val="edge"/>
          <c:yMode val="edge"/>
          <c:x val="0.35540856781014263"/>
          <c:y val="5.2966101694915252E-2"/>
        </c:manualLayout>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0.1028317892737184"/>
          <c:y val="0.18164592508563546"/>
          <c:w val="0.63930107785914869"/>
          <c:h val="0.59869433693669649"/>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CEDEMAR</c:v>
                  </c:pt>
                </c:lvl>
              </c:multiLvlStrCache>
            </c:multiLvlStrRef>
          </c:cat>
          <c:val>
            <c:numRef>
              <c:f>'Tabla régimen-actividad JUN'!$B$9:$B$11</c:f>
              <c:numCache>
                <c:formatCode>General</c:formatCode>
                <c:ptCount val="2"/>
                <c:pt idx="0">
                  <c:v>984</c:v>
                </c:pt>
                <c:pt idx="1">
                  <c:v>3303</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CEDEMAR</c:v>
                  </c:pt>
                </c:lvl>
              </c:multiLvlStrCache>
            </c:multiLvlStrRef>
          </c:cat>
          <c:val>
            <c:numRef>
              <c:f>'Tabla régimen-actividad JUN'!$C$9:$C$11</c:f>
              <c:numCache>
                <c:formatCode>General</c:formatCode>
                <c:ptCount val="2"/>
                <c:pt idx="0">
                  <c:v>253</c:v>
                </c:pt>
                <c:pt idx="1">
                  <c:v>1324</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CEDEMAR</c:v>
                  </c:pt>
                </c:lvl>
              </c:multiLvlStrCache>
            </c:multiLvlStrRef>
          </c:cat>
          <c:val>
            <c:numRef>
              <c:f>'Tabla régimen-actividad JUN'!$D$9:$D$11</c:f>
              <c:numCache>
                <c:formatCode>General</c:formatCode>
                <c:ptCount val="2"/>
                <c:pt idx="0">
                  <c:v>281</c:v>
                </c:pt>
                <c:pt idx="1">
                  <c:v>227</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CEDEMAR</c:v>
                  </c:pt>
                </c:lvl>
              </c:multiLvlStrCache>
            </c:multiLvlStrRef>
          </c:cat>
          <c:val>
            <c:numRef>
              <c:f>'Tabla régimen-actividad JUN'!$E$9:$E$11</c:f>
              <c:numCache>
                <c:formatCode>General</c:formatCode>
                <c:ptCount val="2"/>
                <c:pt idx="0">
                  <c:v>1076</c:v>
                </c:pt>
                <c:pt idx="1">
                  <c:v>3047</c:v>
                </c:pt>
              </c:numCache>
            </c:numRef>
          </c:val>
        </c:ser>
        <c:dLbls>
          <c:showLegendKey val="0"/>
          <c:showVal val="0"/>
          <c:showCatName val="0"/>
          <c:showSerName val="0"/>
          <c:showPercent val="0"/>
          <c:showBubbleSize val="0"/>
        </c:dLbls>
        <c:gapWidth val="150"/>
        <c:shape val="box"/>
        <c:axId val="90754560"/>
        <c:axId val="90790656"/>
        <c:axId val="0"/>
      </c:bar3DChart>
      <c:catAx>
        <c:axId val="90754560"/>
        <c:scaling>
          <c:orientation val="minMax"/>
        </c:scaling>
        <c:delete val="0"/>
        <c:axPos val="b"/>
        <c:majorTickMark val="out"/>
        <c:minorTickMark val="none"/>
        <c:tickLblPos val="nextTo"/>
        <c:crossAx val="90790656"/>
        <c:crosses val="autoZero"/>
        <c:auto val="1"/>
        <c:lblAlgn val="ctr"/>
        <c:lblOffset val="100"/>
        <c:noMultiLvlLbl val="0"/>
      </c:catAx>
      <c:valAx>
        <c:axId val="90790656"/>
        <c:scaling>
          <c:orientation val="minMax"/>
        </c:scaling>
        <c:delete val="0"/>
        <c:axPos val="l"/>
        <c:majorGridlines/>
        <c:numFmt formatCode="General" sourceLinked="1"/>
        <c:majorTickMark val="out"/>
        <c:minorTickMark val="none"/>
        <c:tickLblPos val="nextTo"/>
        <c:crossAx val="90754560"/>
        <c:crosses val="autoZero"/>
        <c:crossBetween val="between"/>
      </c:valAx>
    </c:plotArea>
    <c:legend>
      <c:legendPos val="b"/>
      <c:layout>
        <c:manualLayout>
          <c:xMode val="edge"/>
          <c:yMode val="edge"/>
          <c:x val="0.75263803617642189"/>
          <c:y val="0.10370178833578006"/>
          <c:w val="0.24428686471009306"/>
          <c:h val="0.83626996307664936"/>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7.8793327735256866E-2"/>
          <c:y val="9.7989972933070865E-2"/>
          <c:w val="0.89716821072628161"/>
          <c:h val="0.68167727813320211"/>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CEDEMAR</c:v>
                  </c:pt>
                </c:lvl>
              </c:multiLvlStrCache>
            </c:multiLvlStrRef>
          </c:cat>
          <c:val>
            <c:numRef>
              <c:f>'Gráfico altas régimen y sexo'!$C$9:$C$12</c:f>
              <c:numCache>
                <c:formatCode>General</c:formatCode>
                <c:ptCount val="2"/>
                <c:pt idx="0">
                  <c:v>2599</c:v>
                </c:pt>
                <c:pt idx="1">
                  <c:v>6408</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CEDEMAR</c:v>
                  </c:pt>
                </c:lvl>
              </c:multiLvlStrCache>
            </c:multiLvlStrRef>
          </c:cat>
          <c:val>
            <c:numRef>
              <c:f>'Gráfico altas régimen y sexo'!$D$9:$D$12</c:f>
              <c:numCache>
                <c:formatCode>General</c:formatCode>
                <c:ptCount val="2"/>
                <c:pt idx="0">
                  <c:v>1685</c:v>
                </c:pt>
                <c:pt idx="1">
                  <c:v>3650</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CEDEMAR</c:v>
                  </c:pt>
                </c:lvl>
              </c:multiLvlStrCache>
            </c:multiLvlStrRef>
          </c:cat>
          <c:val>
            <c:numRef>
              <c:f>'Gráfico altas régimen y sexo'!$E$9:$E$12</c:f>
              <c:numCache>
                <c:formatCode>General</c:formatCode>
                <c:ptCount val="2"/>
                <c:pt idx="0">
                  <c:v>914</c:v>
                </c:pt>
                <c:pt idx="1">
                  <c:v>2758</c:v>
                </c:pt>
              </c:numCache>
            </c:numRef>
          </c:val>
        </c:ser>
        <c:dLbls>
          <c:showLegendKey val="0"/>
          <c:showVal val="0"/>
          <c:showCatName val="0"/>
          <c:showSerName val="0"/>
          <c:showPercent val="0"/>
          <c:showBubbleSize val="0"/>
        </c:dLbls>
        <c:gapWidth val="150"/>
        <c:shape val="box"/>
        <c:axId val="90985472"/>
        <c:axId val="90915392"/>
        <c:axId val="0"/>
      </c:bar3DChart>
      <c:catAx>
        <c:axId val="90985472"/>
        <c:scaling>
          <c:orientation val="minMax"/>
        </c:scaling>
        <c:delete val="0"/>
        <c:axPos val="b"/>
        <c:majorTickMark val="out"/>
        <c:minorTickMark val="none"/>
        <c:tickLblPos val="nextTo"/>
        <c:crossAx val="90915392"/>
        <c:crosses val="autoZero"/>
        <c:auto val="1"/>
        <c:lblAlgn val="ctr"/>
        <c:lblOffset val="100"/>
        <c:noMultiLvlLbl val="0"/>
      </c:catAx>
      <c:valAx>
        <c:axId val="90915392"/>
        <c:scaling>
          <c:orientation val="minMax"/>
        </c:scaling>
        <c:delete val="0"/>
        <c:axPos val="l"/>
        <c:majorGridlines/>
        <c:numFmt formatCode="General" sourceLinked="1"/>
        <c:majorTickMark val="out"/>
        <c:minorTickMark val="none"/>
        <c:tickLblPos val="nextTo"/>
        <c:crossAx val="9098547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sz="1400"/>
            </a:pPr>
            <a:r>
              <a:rPr lang="en-US" sz="1400"/>
              <a:t>CEDEMAR</a:t>
            </a:r>
          </a:p>
        </c:rich>
      </c:tx>
      <c:layout/>
      <c:overlay val="1"/>
    </c:title>
    <c:autoTitleDeleted val="0"/>
    <c:pivotFmts>
      <c:pivotFmt>
        <c:idx val="0"/>
      </c:pivotFmt>
      <c:pivotFmt>
        <c:idx val="1"/>
      </c:pivotFmt>
      <c:pivotFmt>
        <c:idx val="2"/>
      </c:pivotFmt>
    </c:pivotFmts>
    <c:plotArea>
      <c:layout>
        <c:manualLayout>
          <c:layoutTarget val="inner"/>
          <c:xMode val="edge"/>
          <c:yMode val="edge"/>
          <c:x val="9.6630232076253625E-2"/>
          <c:y val="0.13420785821504752"/>
          <c:w val="0.87752390326209229"/>
          <c:h val="0.65901232454638825"/>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32915</c:v>
                </c:pt>
                <c:pt idx="1">
                  <c:v>35562</c:v>
                </c:pt>
                <c:pt idx="2">
                  <c:v>36367</c:v>
                </c:pt>
                <c:pt idx="3">
                  <c:v>35186</c:v>
                </c:pt>
                <c:pt idx="4">
                  <c:v>33789</c:v>
                </c:pt>
                <c:pt idx="5">
                  <c:v>34432</c:v>
                </c:pt>
                <c:pt idx="6">
                  <c:v>33040</c:v>
                </c:pt>
                <c:pt idx="7">
                  <c:v>28713</c:v>
                </c:pt>
                <c:pt idx="8">
                  <c:v>25380</c:v>
                </c:pt>
                <c:pt idx="9">
                  <c:v>23658</c:v>
                </c:pt>
                <c:pt idx="10">
                  <c:v>22216</c:v>
                </c:pt>
                <c:pt idx="11">
                  <c:v>24301</c:v>
                </c:pt>
                <c:pt idx="12">
                  <c:v>24231</c:v>
                </c:pt>
              </c:numCache>
            </c:numRef>
          </c:val>
          <c:smooth val="0"/>
        </c:ser>
        <c:dLbls>
          <c:showLegendKey val="0"/>
          <c:showVal val="0"/>
          <c:showCatName val="0"/>
          <c:showSerName val="0"/>
          <c:showPercent val="0"/>
          <c:showBubbleSize val="0"/>
        </c:dLbls>
        <c:marker val="1"/>
        <c:smooth val="0"/>
        <c:axId val="90048000"/>
        <c:axId val="63027968"/>
      </c:lineChart>
      <c:catAx>
        <c:axId val="90048000"/>
        <c:scaling>
          <c:orientation val="minMax"/>
        </c:scaling>
        <c:delete val="0"/>
        <c:axPos val="b"/>
        <c:majorTickMark val="out"/>
        <c:minorTickMark val="none"/>
        <c:tickLblPos val="nextTo"/>
        <c:crossAx val="63027968"/>
        <c:crosses val="autoZero"/>
        <c:auto val="1"/>
        <c:lblAlgn val="ctr"/>
        <c:lblOffset val="100"/>
        <c:noMultiLvlLbl val="0"/>
      </c:catAx>
      <c:valAx>
        <c:axId val="63027968"/>
        <c:scaling>
          <c:orientation val="minMax"/>
        </c:scaling>
        <c:delete val="0"/>
        <c:axPos val="l"/>
        <c:majorGridlines/>
        <c:numFmt formatCode="General" sourceLinked="1"/>
        <c:majorTickMark val="out"/>
        <c:minorTickMark val="none"/>
        <c:tickLblPos val="nextTo"/>
        <c:crossAx val="90048000"/>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a:t>
            </a:r>
            <a:r>
              <a:rPr lang="en-US" sz="1400" baseline="0"/>
              <a:t> por municipio</a:t>
            </a:r>
            <a:endParaRPr lang="en-US" sz="1400"/>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
        <c:idx val="82"/>
        <c:marker>
          <c:symbol val="none"/>
        </c:marker>
        <c:dLbl>
          <c:idx val="0"/>
          <c:spPr/>
          <c:txPr>
            <a:bodyPr/>
            <a:lstStyle/>
            <a:p>
              <a:pPr>
                <a:defRPr/>
              </a:pPr>
              <a:endParaRPr lang="es-ES"/>
            </a:p>
          </c:txPr>
          <c:showLegendKey val="0"/>
          <c:showVal val="1"/>
          <c:showCatName val="0"/>
          <c:showSerName val="0"/>
          <c:showPercent val="0"/>
          <c:showBubbleSize val="0"/>
        </c:dLbl>
      </c:pivotFmt>
      <c:pivotFmt>
        <c:idx val="83"/>
        <c:marker>
          <c:symbol val="none"/>
        </c:marker>
        <c:dLbl>
          <c:idx val="0"/>
          <c:spPr/>
          <c:txPr>
            <a:bodyPr/>
            <a:lstStyle/>
            <a:p>
              <a:pPr>
                <a:defRPr/>
              </a:pPr>
              <a:endParaRPr lang="es-ES"/>
            </a:p>
          </c:txPr>
          <c:showLegendKey val="0"/>
          <c:showVal val="1"/>
          <c:showCatName val="0"/>
          <c:showSerName val="0"/>
          <c:showPercent val="0"/>
          <c:showBubbleSize val="0"/>
        </c:dLbl>
      </c:pivotFmt>
      <c:pivotFmt>
        <c:idx val="84"/>
        <c:marker>
          <c:symbol val="none"/>
        </c:marker>
        <c:dLbl>
          <c:idx val="0"/>
          <c:spPr/>
          <c:txPr>
            <a:bodyPr/>
            <a:lstStyle/>
            <a:p>
              <a:pPr>
                <a:defRPr/>
              </a:pPr>
              <a:endParaRPr lang="es-ES"/>
            </a:p>
          </c:txPr>
          <c:showLegendKey val="0"/>
          <c:showVal val="1"/>
          <c:showCatName val="0"/>
          <c:showSerName val="0"/>
          <c:showPercent val="0"/>
          <c:showBubbleSize val="0"/>
        </c:dLbl>
      </c:pivotFmt>
      <c:pivotFmt>
        <c:idx val="85"/>
        <c:marker>
          <c:symbol val="none"/>
        </c:marker>
        <c:dLbl>
          <c:idx val="0"/>
          <c:spPr/>
          <c:txPr>
            <a:bodyPr/>
            <a:lstStyle/>
            <a:p>
              <a:pPr>
                <a:defRPr/>
              </a:pPr>
              <a:endParaRPr lang="es-ES"/>
            </a:p>
          </c:txPr>
          <c:showLegendKey val="0"/>
          <c:showVal val="1"/>
          <c:showCatName val="0"/>
          <c:showSerName val="0"/>
          <c:showPercent val="0"/>
          <c:showBubbleSize val="0"/>
        </c:dLbl>
      </c:pivotFmt>
      <c:pivotFmt>
        <c:idx val="86"/>
        <c:marker>
          <c:symbol val="none"/>
        </c:marker>
        <c:dLbl>
          <c:idx val="0"/>
          <c:spPr/>
          <c:txPr>
            <a:bodyPr/>
            <a:lstStyle/>
            <a:p>
              <a:pPr>
                <a:defRPr/>
              </a:pPr>
              <a:endParaRPr lang="es-ES"/>
            </a:p>
          </c:txPr>
          <c:showLegendKey val="0"/>
          <c:showVal val="1"/>
          <c:showCatName val="0"/>
          <c:showSerName val="0"/>
          <c:showPercent val="0"/>
          <c:showBubbleSize val="0"/>
        </c:dLbl>
      </c:pivotFmt>
      <c:pivotFmt>
        <c:idx val="87"/>
        <c:marker>
          <c:symbol val="none"/>
        </c:marker>
        <c:dLbl>
          <c:idx val="0"/>
          <c:spPr/>
          <c:txPr>
            <a:bodyPr/>
            <a:lstStyle/>
            <a:p>
              <a:pPr>
                <a:defRPr/>
              </a:pPr>
              <a:endParaRPr lang="es-ES"/>
            </a:p>
          </c:txPr>
          <c:showLegendKey val="0"/>
          <c:showVal val="1"/>
          <c:showCatName val="0"/>
          <c:showSerName val="0"/>
          <c:showPercent val="0"/>
          <c:showBubbleSize val="0"/>
        </c:dLbl>
      </c:pivotFmt>
      <c:pivotFmt>
        <c:idx val="88"/>
        <c:marker>
          <c:symbol val="none"/>
        </c:marker>
        <c:dLbl>
          <c:idx val="0"/>
          <c:spPr/>
          <c:txPr>
            <a:bodyPr/>
            <a:lstStyle/>
            <a:p>
              <a:pPr>
                <a:defRPr/>
              </a:pPr>
              <a:endParaRPr lang="es-ES"/>
            </a:p>
          </c:txPr>
          <c:showLegendKey val="0"/>
          <c:showVal val="1"/>
          <c:showCatName val="0"/>
          <c:showSerName val="0"/>
          <c:showPercent val="0"/>
          <c:showBubbleSize val="0"/>
        </c:dLbl>
      </c:pivotFmt>
      <c:pivotFmt>
        <c:idx val="89"/>
        <c:marker>
          <c:symbol val="none"/>
        </c:marker>
        <c:dLbl>
          <c:idx val="0"/>
          <c:spPr/>
          <c:txPr>
            <a:bodyPr/>
            <a:lstStyle/>
            <a:p>
              <a:pPr>
                <a:defRPr/>
              </a:pPr>
              <a:endParaRPr lang="es-ES"/>
            </a:p>
          </c:txPr>
          <c:showLegendKey val="0"/>
          <c:showVal val="1"/>
          <c:showCatName val="0"/>
          <c:showSerName val="0"/>
          <c:showPercent val="0"/>
          <c:showBubbleSize val="0"/>
        </c:dLbl>
      </c:pivotFmt>
      <c:pivotFmt>
        <c:idx val="90"/>
        <c:marker>
          <c:symbol val="none"/>
        </c:marker>
        <c:dLbl>
          <c:idx val="0"/>
          <c:spPr/>
          <c:txPr>
            <a:bodyPr/>
            <a:lstStyle/>
            <a:p>
              <a:pPr>
                <a:defRPr/>
              </a:pPr>
              <a:endParaRPr lang="es-ES"/>
            </a:p>
          </c:txPr>
          <c:showLegendKey val="0"/>
          <c:showVal val="1"/>
          <c:showCatName val="0"/>
          <c:showSerName val="0"/>
          <c:showPercent val="0"/>
          <c:showBubbleSize val="0"/>
        </c:dLbl>
      </c:pivotFmt>
      <c:pivotFmt>
        <c:idx val="91"/>
        <c:marker>
          <c:symbol val="none"/>
        </c:marker>
        <c:dLbl>
          <c:idx val="0"/>
          <c:spPr/>
          <c:txPr>
            <a:bodyPr/>
            <a:lstStyle/>
            <a:p>
              <a:pPr>
                <a:defRPr/>
              </a:pPr>
              <a:endParaRPr lang="es-ES"/>
            </a:p>
          </c:txPr>
          <c:showLegendKey val="0"/>
          <c:showVal val="1"/>
          <c:showCatName val="0"/>
          <c:showSerName val="0"/>
          <c:showPercent val="0"/>
          <c:showBubbleSize val="0"/>
        </c:dLbl>
      </c:pivotFmt>
      <c:pivotFmt>
        <c:idx val="92"/>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78</c:v>
                </c:pt>
                <c:pt idx="1">
                  <c:v>1816</c:v>
                </c:pt>
                <c:pt idx="2">
                  <c:v>0</c:v>
                </c:pt>
                <c:pt idx="3">
                  <c:v>12479</c:v>
                </c:pt>
                <c:pt idx="4">
                  <c:v>9858</c:v>
                </c:pt>
                <c:pt idx="5">
                  <c:v>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a:t>
            </a:r>
            <a:r>
              <a:rPr lang="en-US" sz="1400" baseline="0"/>
              <a:t> según población</a:t>
            </a:r>
            <a:endParaRPr lang="en-US" sz="1400"/>
          </a:p>
        </c:rich>
      </c:tx>
      <c:layout/>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
        <c:idx val="8"/>
        <c:marker>
          <c:symbol val="none"/>
        </c:marker>
        <c:dLbl>
          <c:idx val="0"/>
          <c:spPr/>
          <c:txPr>
            <a:bodyPr/>
            <a:lstStyle/>
            <a:p>
              <a:pPr>
                <a:defRPr/>
              </a:pPr>
              <a:endParaRPr lang="es-ES"/>
            </a:p>
          </c:txPr>
          <c:showLegendKey val="0"/>
          <c:showVal val="1"/>
          <c:showCatName val="0"/>
          <c:showSerName val="0"/>
          <c:showPercent val="0"/>
          <c:showBubbleSize val="0"/>
        </c:dLbl>
      </c:pivotFmt>
      <c:pivotFmt>
        <c:idx val="9"/>
        <c:marker>
          <c:symbol val="none"/>
        </c:marker>
        <c:dLbl>
          <c:idx val="0"/>
          <c:spPr/>
          <c:txPr>
            <a:bodyPr/>
            <a:lstStyle/>
            <a:p>
              <a:pPr>
                <a:defRPr/>
              </a:pPr>
              <a:endParaRPr lang="es-ES"/>
            </a:p>
          </c:txPr>
          <c:showLegendKey val="0"/>
          <c:showVal val="1"/>
          <c:showCatName val="0"/>
          <c:showSerName val="0"/>
          <c:showPercent val="0"/>
          <c:showBubbleSize val="0"/>
        </c:dLbl>
      </c:pivotFmt>
      <c:pivotFmt>
        <c:idx val="10"/>
        <c:marker>
          <c:symbol val="none"/>
        </c:marker>
        <c:dLbl>
          <c:idx val="0"/>
          <c:spPr/>
          <c:txPr>
            <a:bodyPr/>
            <a:lstStyle/>
            <a:p>
              <a:pPr>
                <a:defRPr/>
              </a:pPr>
              <a:endParaRPr lang="es-ES"/>
            </a:p>
          </c:txPr>
          <c:showLegendKey val="0"/>
          <c:showVal val="1"/>
          <c:showCatName val="0"/>
          <c:showSerName val="0"/>
          <c:showPercent val="0"/>
          <c:showBubbleSize val="0"/>
        </c:dLbl>
      </c:pivotFmt>
      <c:pivotFmt>
        <c:idx val="11"/>
        <c:marker>
          <c:symbol val="none"/>
        </c:marker>
        <c:dLbl>
          <c:idx val="0"/>
          <c:spPr/>
          <c:txPr>
            <a:bodyPr/>
            <a:lstStyle/>
            <a:p>
              <a:pPr>
                <a:defRPr/>
              </a:pPr>
              <a:endParaRPr lang="es-ES"/>
            </a:p>
          </c:txPr>
          <c:showLegendKey val="0"/>
          <c:showVal val="1"/>
          <c:showCatName val="0"/>
          <c:showSerName val="0"/>
          <c:showPercent val="0"/>
          <c:showBubbleSize val="0"/>
        </c:dLbl>
      </c:pivotFmt>
      <c:pivotFmt>
        <c:idx val="12"/>
        <c:marker>
          <c:symbol val="none"/>
        </c:marker>
        <c:dLbl>
          <c:idx val="0"/>
          <c:spPr/>
          <c:txPr>
            <a:bodyPr/>
            <a:lstStyle/>
            <a:p>
              <a:pPr>
                <a:defRPr/>
              </a:pPr>
              <a:endParaRPr lang="es-ES"/>
            </a:p>
          </c:txPr>
          <c:showLegendKey val="0"/>
          <c:showVal val="1"/>
          <c:showCatName val="0"/>
          <c:showSerName val="0"/>
          <c:showPercent val="0"/>
          <c:showBubbleSize val="0"/>
        </c:dLbl>
      </c:pivotFmt>
      <c:pivotFmt>
        <c:idx val="13"/>
        <c:marker>
          <c:symbol val="none"/>
        </c:marker>
        <c:dLbl>
          <c:idx val="0"/>
          <c:spPr/>
          <c:txPr>
            <a:bodyPr/>
            <a:lstStyle/>
            <a:p>
              <a:pPr>
                <a:defRPr/>
              </a:pPr>
              <a:endParaRPr lang="es-ES"/>
            </a:p>
          </c:txPr>
          <c:showLegendKey val="0"/>
          <c:showVal val="1"/>
          <c:showCatName val="0"/>
          <c:showSerName val="0"/>
          <c:showPercent val="0"/>
          <c:showBubbleSize val="0"/>
        </c:dLbl>
      </c:pivotFmt>
      <c:pivotFmt>
        <c:idx val="14"/>
        <c:marker>
          <c:symbol val="none"/>
        </c:marker>
        <c:dLbl>
          <c:idx val="0"/>
          <c:spPr/>
          <c:txPr>
            <a:bodyPr/>
            <a:lstStyle/>
            <a:p>
              <a:pPr>
                <a:defRPr/>
              </a:pPr>
              <a:endParaRPr lang="es-ES"/>
            </a:p>
          </c:txPr>
          <c:showLegendKey val="0"/>
          <c:showVal val="1"/>
          <c:showCatName val="0"/>
          <c:showSerName val="0"/>
          <c:showPercent val="0"/>
          <c:showBubbleSize val="0"/>
        </c:dLbl>
      </c:pivotFmt>
      <c:pivotFmt>
        <c:idx val="15"/>
        <c:marker>
          <c:symbol val="none"/>
        </c:marker>
        <c:dLbl>
          <c:idx val="0"/>
          <c:spPr/>
          <c:txPr>
            <a:bodyPr/>
            <a:lstStyle/>
            <a:p>
              <a:pPr>
                <a:defRPr/>
              </a:pPr>
              <a:endParaRPr lang="es-ES"/>
            </a:p>
          </c:txPr>
          <c:showLegendKey val="0"/>
          <c:showVal val="1"/>
          <c:showCatName val="0"/>
          <c:showSerName val="0"/>
          <c:showPercent val="0"/>
          <c:showBubbleSize val="0"/>
        </c:dLbl>
      </c:pivotFmt>
      <c:pivotFmt>
        <c:idx val="16"/>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1</c:v>
                </c:pt>
                <c:pt idx="1">
                  <c:v>6</c:v>
                </c:pt>
                <c:pt idx="2">
                  <c:v>0</c:v>
                </c:pt>
                <c:pt idx="3">
                  <c:v>8</c:v>
                </c:pt>
                <c:pt idx="4">
                  <c:v>1</c:v>
                </c:pt>
                <c:pt idx="5">
                  <c:v>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 de nacimientos (CEDEMAR)</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5755601944330971"/>
          <c:w val="0.90134909123201701"/>
          <c:h val="0.7126093195888682"/>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CEDEMAR</c:v>
                </c:pt>
              </c:strCache>
            </c:strRef>
          </c:cat>
          <c:val>
            <c:numRef>
              <c:f>'nacimientos grupo'!$B$7:$B$8</c:f>
              <c:numCache>
                <c:formatCode>General</c:formatCode>
                <c:ptCount val="1"/>
                <c:pt idx="0">
                  <c:v>205</c:v>
                </c:pt>
              </c:numCache>
            </c:numRef>
          </c:val>
        </c:ser>
        <c:ser>
          <c:idx val="1"/>
          <c:order val="1"/>
          <c:tx>
            <c:strRef>
              <c:f>'nacimientos grupo'!$C$5:$C$6</c:f>
              <c:strCache>
                <c:ptCount val="1"/>
                <c:pt idx="0">
                  <c:v>Año 2011</c:v>
                </c:pt>
              </c:strCache>
            </c:strRef>
          </c:tx>
          <c:invertIfNegative val="0"/>
          <c:cat>
            <c:strRef>
              <c:f>'nacimientos grupo'!$A$7:$A$8</c:f>
              <c:strCache>
                <c:ptCount val="1"/>
                <c:pt idx="0">
                  <c:v>CEDEMAR</c:v>
                </c:pt>
              </c:strCache>
            </c:strRef>
          </c:cat>
          <c:val>
            <c:numRef>
              <c:f>'nacimientos grupo'!$C$7:$C$8</c:f>
              <c:numCache>
                <c:formatCode>General</c:formatCode>
                <c:ptCount val="1"/>
                <c:pt idx="0">
                  <c:v>190</c:v>
                </c:pt>
              </c:numCache>
            </c:numRef>
          </c:val>
        </c:ser>
        <c:ser>
          <c:idx val="2"/>
          <c:order val="2"/>
          <c:tx>
            <c:strRef>
              <c:f>'nacimientos grupo'!$D$5:$D$6</c:f>
              <c:strCache>
                <c:ptCount val="1"/>
                <c:pt idx="0">
                  <c:v>Año 2010</c:v>
                </c:pt>
              </c:strCache>
            </c:strRef>
          </c:tx>
          <c:invertIfNegative val="0"/>
          <c:cat>
            <c:strRef>
              <c:f>'nacimientos grupo'!$A$7:$A$8</c:f>
              <c:strCache>
                <c:ptCount val="1"/>
                <c:pt idx="0">
                  <c:v>CEDEMAR</c:v>
                </c:pt>
              </c:strCache>
            </c:strRef>
          </c:cat>
          <c:val>
            <c:numRef>
              <c:f>'nacimientos grupo'!$D$7:$D$8</c:f>
              <c:numCache>
                <c:formatCode>General</c:formatCode>
                <c:ptCount val="1"/>
                <c:pt idx="0">
                  <c:v>175</c:v>
                </c:pt>
              </c:numCache>
            </c:numRef>
          </c:val>
        </c:ser>
        <c:ser>
          <c:idx val="3"/>
          <c:order val="3"/>
          <c:tx>
            <c:strRef>
              <c:f>'nacimientos grupo'!$E$5:$E$6</c:f>
              <c:strCache>
                <c:ptCount val="1"/>
                <c:pt idx="0">
                  <c:v>Año 2009</c:v>
                </c:pt>
              </c:strCache>
            </c:strRef>
          </c:tx>
          <c:invertIfNegative val="0"/>
          <c:cat>
            <c:strRef>
              <c:f>'nacimientos grupo'!$A$7:$A$8</c:f>
              <c:strCache>
                <c:ptCount val="1"/>
                <c:pt idx="0">
                  <c:v>CEDEMAR</c:v>
                </c:pt>
              </c:strCache>
            </c:strRef>
          </c:cat>
          <c:val>
            <c:numRef>
              <c:f>'nacimientos grupo'!$E$7:$E$8</c:f>
              <c:numCache>
                <c:formatCode>General</c:formatCode>
                <c:ptCount val="1"/>
                <c:pt idx="0">
                  <c:v>192</c:v>
                </c:pt>
              </c:numCache>
            </c:numRef>
          </c:val>
        </c:ser>
        <c:ser>
          <c:idx val="4"/>
          <c:order val="4"/>
          <c:tx>
            <c:strRef>
              <c:f>'nacimientos grupo'!$F$5:$F$6</c:f>
              <c:strCache>
                <c:ptCount val="1"/>
                <c:pt idx="0">
                  <c:v>Año 2008</c:v>
                </c:pt>
              </c:strCache>
            </c:strRef>
          </c:tx>
          <c:invertIfNegative val="0"/>
          <c:cat>
            <c:strRef>
              <c:f>'nacimientos grupo'!$A$7:$A$8</c:f>
              <c:strCache>
                <c:ptCount val="1"/>
                <c:pt idx="0">
                  <c:v>CEDEMAR</c:v>
                </c:pt>
              </c:strCache>
            </c:strRef>
          </c:cat>
          <c:val>
            <c:numRef>
              <c:f>'nacimientos grupo'!$F$7:$F$8</c:f>
              <c:numCache>
                <c:formatCode>General</c:formatCode>
                <c:ptCount val="1"/>
                <c:pt idx="0">
                  <c:v>187</c:v>
                </c:pt>
              </c:numCache>
            </c:numRef>
          </c:val>
        </c:ser>
        <c:ser>
          <c:idx val="5"/>
          <c:order val="5"/>
          <c:tx>
            <c:strRef>
              <c:f>'nacimientos grupo'!$G$5:$G$6</c:f>
              <c:strCache>
                <c:ptCount val="1"/>
                <c:pt idx="0">
                  <c:v>Año 2007</c:v>
                </c:pt>
              </c:strCache>
            </c:strRef>
          </c:tx>
          <c:invertIfNegative val="0"/>
          <c:cat>
            <c:strRef>
              <c:f>'nacimientos grupo'!$A$7:$A$8</c:f>
              <c:strCache>
                <c:ptCount val="1"/>
                <c:pt idx="0">
                  <c:v>CEDEMAR</c:v>
                </c:pt>
              </c:strCache>
            </c:strRef>
          </c:cat>
          <c:val>
            <c:numRef>
              <c:f>'nacimientos grupo'!$G$7:$G$8</c:f>
              <c:numCache>
                <c:formatCode>General</c:formatCode>
                <c:ptCount val="1"/>
                <c:pt idx="0">
                  <c:v>169</c:v>
                </c:pt>
              </c:numCache>
            </c:numRef>
          </c:val>
        </c:ser>
        <c:dLbls>
          <c:showLegendKey val="0"/>
          <c:showVal val="0"/>
          <c:showCatName val="0"/>
          <c:showSerName val="0"/>
          <c:showPercent val="0"/>
          <c:showBubbleSize val="0"/>
        </c:dLbls>
        <c:gapWidth val="150"/>
        <c:shape val="cylinder"/>
        <c:axId val="90048512"/>
        <c:axId val="89557824"/>
        <c:axId val="0"/>
      </c:bar3DChart>
      <c:catAx>
        <c:axId val="90048512"/>
        <c:scaling>
          <c:orientation val="minMax"/>
        </c:scaling>
        <c:delete val="0"/>
        <c:axPos val="b"/>
        <c:majorTickMark val="out"/>
        <c:minorTickMark val="none"/>
        <c:tickLblPos val="nextTo"/>
        <c:crossAx val="89557824"/>
        <c:crosses val="autoZero"/>
        <c:auto val="1"/>
        <c:lblAlgn val="ctr"/>
        <c:lblOffset val="100"/>
        <c:noMultiLvlLbl val="0"/>
      </c:catAx>
      <c:valAx>
        <c:axId val="89557824"/>
        <c:scaling>
          <c:orientation val="minMax"/>
        </c:scaling>
        <c:delete val="0"/>
        <c:axPos val="l"/>
        <c:majorGridlines/>
        <c:numFmt formatCode="General" sourceLinked="1"/>
        <c:majorTickMark val="out"/>
        <c:minorTickMark val="none"/>
        <c:tickLblPos val="nextTo"/>
        <c:crossAx val="9004851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defunciones</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1997272117988736"/>
          <c:w val="0.90134909123201701"/>
          <c:h val="0.70001450889355965"/>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CEDEMAR</c:v>
                </c:pt>
              </c:strCache>
            </c:strRef>
          </c:cat>
          <c:val>
            <c:numRef>
              <c:f>'defunciones grupo'!$B$7:$B$8</c:f>
              <c:numCache>
                <c:formatCode>General</c:formatCode>
                <c:ptCount val="1"/>
                <c:pt idx="0">
                  <c:v>261</c:v>
                </c:pt>
              </c:numCache>
            </c:numRef>
          </c:val>
        </c:ser>
        <c:ser>
          <c:idx val="1"/>
          <c:order val="1"/>
          <c:tx>
            <c:strRef>
              <c:f>'defunciones grupo'!$C$5:$C$6</c:f>
              <c:strCache>
                <c:ptCount val="1"/>
                <c:pt idx="0">
                  <c:v>Año 2011</c:v>
                </c:pt>
              </c:strCache>
            </c:strRef>
          </c:tx>
          <c:invertIfNegative val="0"/>
          <c:cat>
            <c:strRef>
              <c:f>'defunciones grupo'!$A$7:$A$8</c:f>
              <c:strCache>
                <c:ptCount val="1"/>
                <c:pt idx="0">
                  <c:v>CEDEMAR</c:v>
                </c:pt>
              </c:strCache>
            </c:strRef>
          </c:cat>
          <c:val>
            <c:numRef>
              <c:f>'defunciones grupo'!$C$7:$C$8</c:f>
              <c:numCache>
                <c:formatCode>General</c:formatCode>
                <c:ptCount val="1"/>
                <c:pt idx="0">
                  <c:v>312</c:v>
                </c:pt>
              </c:numCache>
            </c:numRef>
          </c:val>
        </c:ser>
        <c:ser>
          <c:idx val="2"/>
          <c:order val="2"/>
          <c:tx>
            <c:strRef>
              <c:f>'defunciones grupo'!$D$5:$D$6</c:f>
              <c:strCache>
                <c:ptCount val="1"/>
                <c:pt idx="0">
                  <c:v>Año 2010</c:v>
                </c:pt>
              </c:strCache>
            </c:strRef>
          </c:tx>
          <c:invertIfNegative val="0"/>
          <c:cat>
            <c:strRef>
              <c:f>'defunciones grupo'!$A$7:$A$8</c:f>
              <c:strCache>
                <c:ptCount val="1"/>
                <c:pt idx="0">
                  <c:v>CEDEMAR</c:v>
                </c:pt>
              </c:strCache>
            </c:strRef>
          </c:cat>
          <c:val>
            <c:numRef>
              <c:f>'defunciones grupo'!$D$7:$D$8</c:f>
              <c:numCache>
                <c:formatCode>General</c:formatCode>
                <c:ptCount val="1"/>
                <c:pt idx="0">
                  <c:v>274</c:v>
                </c:pt>
              </c:numCache>
            </c:numRef>
          </c:val>
        </c:ser>
        <c:ser>
          <c:idx val="3"/>
          <c:order val="3"/>
          <c:tx>
            <c:strRef>
              <c:f>'defunciones grupo'!$E$5:$E$6</c:f>
              <c:strCache>
                <c:ptCount val="1"/>
                <c:pt idx="0">
                  <c:v>Año 2009</c:v>
                </c:pt>
              </c:strCache>
            </c:strRef>
          </c:tx>
          <c:invertIfNegative val="0"/>
          <c:cat>
            <c:strRef>
              <c:f>'defunciones grupo'!$A$7:$A$8</c:f>
              <c:strCache>
                <c:ptCount val="1"/>
                <c:pt idx="0">
                  <c:v>CEDEMAR</c:v>
                </c:pt>
              </c:strCache>
            </c:strRef>
          </c:cat>
          <c:val>
            <c:numRef>
              <c:f>'defunciones grupo'!$E$7:$E$8</c:f>
              <c:numCache>
                <c:formatCode>General</c:formatCode>
                <c:ptCount val="1"/>
                <c:pt idx="0">
                  <c:v>274</c:v>
                </c:pt>
              </c:numCache>
            </c:numRef>
          </c:val>
        </c:ser>
        <c:ser>
          <c:idx val="4"/>
          <c:order val="4"/>
          <c:tx>
            <c:strRef>
              <c:f>'defunciones grupo'!$F$5:$F$6</c:f>
              <c:strCache>
                <c:ptCount val="1"/>
                <c:pt idx="0">
                  <c:v>Año 2008</c:v>
                </c:pt>
              </c:strCache>
            </c:strRef>
          </c:tx>
          <c:invertIfNegative val="0"/>
          <c:cat>
            <c:strRef>
              <c:f>'defunciones grupo'!$A$7:$A$8</c:f>
              <c:strCache>
                <c:ptCount val="1"/>
                <c:pt idx="0">
                  <c:v>CEDEMAR</c:v>
                </c:pt>
              </c:strCache>
            </c:strRef>
          </c:cat>
          <c:val>
            <c:numRef>
              <c:f>'defunciones grupo'!$F$7:$F$8</c:f>
              <c:numCache>
                <c:formatCode>General</c:formatCode>
                <c:ptCount val="1"/>
                <c:pt idx="0">
                  <c:v>237</c:v>
                </c:pt>
              </c:numCache>
            </c:numRef>
          </c:val>
        </c:ser>
        <c:ser>
          <c:idx val="5"/>
          <c:order val="5"/>
          <c:tx>
            <c:strRef>
              <c:f>'defunciones grupo'!$G$5:$G$6</c:f>
              <c:strCache>
                <c:ptCount val="1"/>
                <c:pt idx="0">
                  <c:v>Año 2007</c:v>
                </c:pt>
              </c:strCache>
            </c:strRef>
          </c:tx>
          <c:invertIfNegative val="0"/>
          <c:cat>
            <c:strRef>
              <c:f>'defunciones grupo'!$A$7:$A$8</c:f>
              <c:strCache>
                <c:ptCount val="1"/>
                <c:pt idx="0">
                  <c:v>CEDEMAR</c:v>
                </c:pt>
              </c:strCache>
            </c:strRef>
          </c:cat>
          <c:val>
            <c:numRef>
              <c:f>'defunciones grupo'!$G$7:$G$8</c:f>
              <c:numCache>
                <c:formatCode>General</c:formatCode>
                <c:ptCount val="1"/>
                <c:pt idx="0">
                  <c:v>252</c:v>
                </c:pt>
              </c:numCache>
            </c:numRef>
          </c:val>
        </c:ser>
        <c:ser>
          <c:idx val="6"/>
          <c:order val="6"/>
          <c:tx>
            <c:strRef>
              <c:f>'defunciones grupo'!$H$5:$H$6</c:f>
              <c:strCache>
                <c:ptCount val="1"/>
                <c:pt idx="0">
                  <c:v>Año 2006</c:v>
                </c:pt>
              </c:strCache>
            </c:strRef>
          </c:tx>
          <c:invertIfNegative val="0"/>
          <c:cat>
            <c:strRef>
              <c:f>'defunciones grupo'!$A$7:$A$8</c:f>
              <c:strCache>
                <c:ptCount val="1"/>
                <c:pt idx="0">
                  <c:v>CEDEMAR</c:v>
                </c:pt>
              </c:strCache>
            </c:strRef>
          </c:cat>
          <c:val>
            <c:numRef>
              <c:f>'defunciones grupo'!$H$7:$H$8</c:f>
              <c:numCache>
                <c:formatCode>General</c:formatCode>
                <c:ptCount val="1"/>
                <c:pt idx="0">
                  <c:v>288</c:v>
                </c:pt>
              </c:numCache>
            </c:numRef>
          </c:val>
        </c:ser>
        <c:dLbls>
          <c:showLegendKey val="0"/>
          <c:showVal val="0"/>
          <c:showCatName val="0"/>
          <c:showSerName val="0"/>
          <c:showPercent val="0"/>
          <c:showBubbleSize val="0"/>
        </c:dLbls>
        <c:gapWidth val="150"/>
        <c:shape val="cylinder"/>
        <c:axId val="109472256"/>
        <c:axId val="89559552"/>
        <c:axId val="0"/>
      </c:bar3DChart>
      <c:catAx>
        <c:axId val="109472256"/>
        <c:scaling>
          <c:orientation val="minMax"/>
        </c:scaling>
        <c:delete val="0"/>
        <c:axPos val="b"/>
        <c:majorTickMark val="out"/>
        <c:minorTickMark val="none"/>
        <c:tickLblPos val="nextTo"/>
        <c:crossAx val="89559552"/>
        <c:crosses val="autoZero"/>
        <c:auto val="1"/>
        <c:lblAlgn val="ctr"/>
        <c:lblOffset val="100"/>
        <c:noMultiLvlLbl val="0"/>
      </c:catAx>
      <c:valAx>
        <c:axId val="89559552"/>
        <c:scaling>
          <c:orientation val="minMax"/>
        </c:scaling>
        <c:delete val="0"/>
        <c:axPos val="l"/>
        <c:majorGridlines/>
        <c:numFmt formatCode="General" sourceLinked="1"/>
        <c:majorTickMark val="out"/>
        <c:minorTickMark val="none"/>
        <c:tickLblPos val="nextTo"/>
        <c:crossAx val="10947225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0.10584069747631498"/>
          <c:y val="0.14749607022761024"/>
          <c:w val="0.8941592416079569"/>
          <c:h val="0.72317515342751271"/>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CEDEMAR</c:v>
                </c:pt>
              </c:strCache>
            </c:strRef>
          </c:cat>
          <c:val>
            <c:numRef>
              <c:f>'variación residencia grupo'!$B$7:$B$8</c:f>
              <c:numCache>
                <c:formatCode>General</c:formatCode>
                <c:ptCount val="1"/>
                <c:pt idx="0">
                  <c:v>-14</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CEDEMAR</c:v>
                </c:pt>
              </c:strCache>
            </c:strRef>
          </c:cat>
          <c:val>
            <c:numRef>
              <c:f>'variación residencia grupo'!$C$7:$C$8</c:f>
              <c:numCache>
                <c:formatCode>General</c:formatCode>
                <c:ptCount val="1"/>
                <c:pt idx="0">
                  <c:v>-131</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CEDEMAR</c:v>
                </c:pt>
              </c:strCache>
            </c:strRef>
          </c:cat>
          <c:val>
            <c:numRef>
              <c:f>'variación residencia grupo'!$D$7:$D$8</c:f>
              <c:numCache>
                <c:formatCode>General</c:formatCode>
                <c:ptCount val="1"/>
                <c:pt idx="0">
                  <c:v>-38</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CEDEMAR</c:v>
                </c:pt>
              </c:strCache>
            </c:strRef>
          </c:cat>
          <c:val>
            <c:numRef>
              <c:f>'variación residencia grupo'!$E$7:$E$8</c:f>
              <c:numCache>
                <c:formatCode>General</c:formatCode>
                <c:ptCount val="1"/>
                <c:pt idx="0">
                  <c:v>-37</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CEDEMAR</c:v>
                </c:pt>
              </c:strCache>
            </c:strRef>
          </c:cat>
          <c:val>
            <c:numRef>
              <c:f>'variación residencia grupo'!$F$7:$F$8</c:f>
              <c:numCache>
                <c:formatCode>General</c:formatCode>
                <c:ptCount val="1"/>
                <c:pt idx="0">
                  <c:v>280</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CEDEMAR</c:v>
                </c:pt>
              </c:strCache>
            </c:strRef>
          </c:cat>
          <c:val>
            <c:numRef>
              <c:f>'variación residencia grupo'!$G$7:$G$8</c:f>
              <c:numCache>
                <c:formatCode>General</c:formatCode>
                <c:ptCount val="1"/>
                <c:pt idx="0">
                  <c:v>621</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CEDEMAR</c:v>
                </c:pt>
              </c:strCache>
            </c:strRef>
          </c:cat>
          <c:val>
            <c:numRef>
              <c:f>'variación residencia grupo'!$H$7:$H$8</c:f>
              <c:numCache>
                <c:formatCode>General</c:formatCode>
                <c:ptCount val="1"/>
                <c:pt idx="0">
                  <c:v>550</c:v>
                </c:pt>
              </c:numCache>
            </c:numRef>
          </c:val>
        </c:ser>
        <c:dLbls>
          <c:showLegendKey val="0"/>
          <c:showVal val="0"/>
          <c:showCatName val="0"/>
          <c:showSerName val="0"/>
          <c:showPercent val="0"/>
          <c:showBubbleSize val="0"/>
        </c:dLbls>
        <c:gapWidth val="150"/>
        <c:shape val="cylinder"/>
        <c:axId val="109472768"/>
        <c:axId val="89561280"/>
        <c:axId val="0"/>
      </c:bar3DChart>
      <c:catAx>
        <c:axId val="109472768"/>
        <c:scaling>
          <c:orientation val="minMax"/>
        </c:scaling>
        <c:delete val="0"/>
        <c:axPos val="b"/>
        <c:majorTickMark val="out"/>
        <c:minorTickMark val="none"/>
        <c:tickLblPos val="low"/>
        <c:crossAx val="89561280"/>
        <c:crosses val="autoZero"/>
        <c:auto val="1"/>
        <c:lblAlgn val="ctr"/>
        <c:lblOffset val="100"/>
        <c:noMultiLvlLbl val="0"/>
      </c:catAx>
      <c:valAx>
        <c:axId val="89561280"/>
        <c:scaling>
          <c:orientation val="minMax"/>
        </c:scaling>
        <c:delete val="0"/>
        <c:axPos val="l"/>
        <c:majorGridlines/>
        <c:numFmt formatCode="General" sourceLinked="1"/>
        <c:majorTickMark val="out"/>
        <c:minorTickMark val="none"/>
        <c:tickLblPos val="nextTo"/>
        <c:crossAx val="109472768"/>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6957882393878311E-2"/>
          <c:y val="3.2563475937780161E-2"/>
          <c:w val="0.61822897143819699"/>
          <c:h val="0.82332578764388353"/>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CEDEMAR</c:v>
                </c:pt>
              </c:strCache>
            </c:strRef>
          </c:cat>
          <c:val>
            <c:numRef>
              <c:f>'Tabla porcentajes 2012'!$B$9:$B$10</c:f>
              <c:numCache>
                <c:formatCode>0.0000%</c:formatCode>
                <c:ptCount val="1"/>
                <c:pt idx="0">
                  <c:v>4.2706457422176491E-2</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CEDEMAR</c:v>
                </c:pt>
              </c:strCache>
            </c:strRef>
          </c:cat>
          <c:val>
            <c:numRef>
              <c:f>'Tabla porcentajes 2012'!$C$9:$C$10</c:f>
              <c:numCache>
                <c:formatCode>0.0000%</c:formatCode>
                <c:ptCount val="1"/>
                <c:pt idx="0">
                  <c:v>2.2232689590202543E-2</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CEDEMAR</c:v>
                </c:pt>
              </c:strCache>
            </c:strRef>
          </c:cat>
          <c:val>
            <c:numRef>
              <c:f>'Tabla porcentajes 2012'!$D$9:$D$10</c:f>
              <c:numCache>
                <c:formatCode>0.0000%</c:formatCode>
                <c:ptCount val="1"/>
                <c:pt idx="0">
                  <c:v>7.1776155717761539E-2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CEDEMAR</c:v>
                </c:pt>
              </c:strCache>
            </c:strRef>
          </c:cat>
          <c:val>
            <c:numRef>
              <c:f>'Tabla porcentajes 2012'!$E$9:$E$10</c:f>
              <c:numCache>
                <c:formatCode>0.0000%</c:formatCode>
                <c:ptCount val="1"/>
                <c:pt idx="0">
                  <c:v>1.7446128600423199E-2</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CEDEMAR</c:v>
                </c:pt>
              </c:strCache>
            </c:strRef>
          </c:cat>
          <c:val>
            <c:numRef>
              <c:f>'Tabla porcentajes 2012'!$F$9:$F$10</c:f>
              <c:numCache>
                <c:formatCode>0.0000%</c:formatCode>
                <c:ptCount val="1"/>
                <c:pt idx="0">
                  <c:v>1.5562633871056979E-2</c:v>
                </c:pt>
              </c:numCache>
            </c:numRef>
          </c:val>
        </c:ser>
        <c:dLbls>
          <c:showLegendKey val="0"/>
          <c:showVal val="0"/>
          <c:showCatName val="0"/>
          <c:showSerName val="0"/>
          <c:showPercent val="0"/>
          <c:showBubbleSize val="0"/>
        </c:dLbls>
        <c:gapWidth val="150"/>
        <c:shape val="box"/>
        <c:axId val="90752000"/>
        <c:axId val="90784320"/>
        <c:axId val="0"/>
      </c:bar3DChart>
      <c:catAx>
        <c:axId val="90752000"/>
        <c:scaling>
          <c:orientation val="minMax"/>
        </c:scaling>
        <c:delete val="0"/>
        <c:axPos val="b"/>
        <c:majorTickMark val="out"/>
        <c:minorTickMark val="none"/>
        <c:tickLblPos val="nextTo"/>
        <c:crossAx val="90784320"/>
        <c:crosses val="autoZero"/>
        <c:auto val="1"/>
        <c:lblAlgn val="ctr"/>
        <c:lblOffset val="100"/>
        <c:noMultiLvlLbl val="0"/>
      </c:catAx>
      <c:valAx>
        <c:axId val="90784320"/>
        <c:scaling>
          <c:orientation val="minMax"/>
        </c:scaling>
        <c:delete val="0"/>
        <c:axPos val="l"/>
        <c:majorGridlines/>
        <c:numFmt formatCode="0.00%" sourceLinked="0"/>
        <c:majorTickMark val="out"/>
        <c:minorTickMark val="none"/>
        <c:tickLblPos val="nextTo"/>
        <c:crossAx val="90752000"/>
        <c:crosses val="autoZero"/>
        <c:crossBetween val="between"/>
      </c:valAx>
      <c:spPr>
        <a:solidFill>
          <a:schemeClr val="accent4">
            <a:lumMod val="20000"/>
            <a:lumOff val="80000"/>
          </a:schemeClr>
        </a:solidFill>
      </c:spPr>
    </c:plotArea>
    <c:legend>
      <c:legendPos val="b"/>
      <c:layout>
        <c:manualLayout>
          <c:xMode val="edge"/>
          <c:yMode val="edge"/>
          <c:x val="0.72074054614288385"/>
          <c:y val="2.5434975869951743E-3"/>
          <c:w val="0.27706170185200302"/>
          <c:h val="0.94759594888392007"/>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2812982818637033E-2"/>
          <c:y val="2.9117544413950616E-2"/>
          <c:w val="0.67202153254779329"/>
          <c:h val="0.78640932078612125"/>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CEDEMAR</c:v>
                </c:pt>
              </c:strCache>
            </c:strRef>
          </c:cat>
          <c:val>
            <c:numRef>
              <c:f>'Tabla evolucion 2012-2011'!$B$9</c:f>
              <c:numCache>
                <c:formatCode>General</c:formatCode>
                <c:ptCount val="1"/>
                <c:pt idx="0">
                  <c:v>-1</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CEDEMAR</c:v>
                </c:pt>
              </c:strCache>
            </c:strRef>
          </c:cat>
          <c:val>
            <c:numRef>
              <c:f>'Tabla evolucion 2012-2011'!$C$9</c:f>
              <c:numCache>
                <c:formatCode>General</c:formatCode>
                <c:ptCount val="1"/>
                <c:pt idx="0">
                  <c:v>-12</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CEDEMAR</c:v>
                </c:pt>
              </c:strCache>
            </c:strRef>
          </c:cat>
          <c:val>
            <c:numRef>
              <c:f>'Tabla evolucion 2012-2011'!$D$9</c:f>
              <c:numCache>
                <c:formatCode>General</c:formatCode>
                <c:ptCount val="1"/>
                <c:pt idx="0">
                  <c:v>-1</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CEDEMAR</c:v>
                </c:pt>
              </c:strCache>
            </c:strRef>
          </c:cat>
          <c:val>
            <c:numRef>
              <c:f>'Tabla evolucion 2012-2011'!$E$9</c:f>
              <c:numCache>
                <c:formatCode>General</c:formatCode>
                <c:ptCount val="1"/>
                <c:pt idx="0">
                  <c:v>-82</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CEDEMAR</c:v>
                </c:pt>
              </c:strCache>
            </c:strRef>
          </c:cat>
          <c:val>
            <c:numRef>
              <c:f>'Tabla evolucion 2012-2011'!$F$9</c:f>
              <c:numCache>
                <c:formatCode>General</c:formatCode>
                <c:ptCount val="1"/>
                <c:pt idx="0">
                  <c:v>-146</c:v>
                </c:pt>
              </c:numCache>
            </c:numRef>
          </c:val>
        </c:ser>
        <c:dLbls>
          <c:showLegendKey val="0"/>
          <c:showVal val="0"/>
          <c:showCatName val="0"/>
          <c:showSerName val="0"/>
          <c:showPercent val="0"/>
          <c:showBubbleSize val="0"/>
        </c:dLbls>
        <c:gapWidth val="150"/>
        <c:shape val="box"/>
        <c:axId val="90752512"/>
        <c:axId val="90785472"/>
        <c:axId val="0"/>
      </c:bar3DChart>
      <c:catAx>
        <c:axId val="90752512"/>
        <c:scaling>
          <c:orientation val="minMax"/>
        </c:scaling>
        <c:delete val="0"/>
        <c:axPos val="b"/>
        <c:majorTickMark val="out"/>
        <c:minorTickMark val="none"/>
        <c:tickLblPos val="low"/>
        <c:crossAx val="90785472"/>
        <c:crosses val="autoZero"/>
        <c:auto val="1"/>
        <c:lblAlgn val="ctr"/>
        <c:lblOffset val="100"/>
        <c:noMultiLvlLbl val="0"/>
      </c:catAx>
      <c:valAx>
        <c:axId val="90785472"/>
        <c:scaling>
          <c:orientation val="minMax"/>
        </c:scaling>
        <c:delete val="0"/>
        <c:axPos val="l"/>
        <c:majorGridlines/>
        <c:numFmt formatCode="General" sourceLinked="1"/>
        <c:majorTickMark val="out"/>
        <c:minorTickMark val="none"/>
        <c:tickLblPos val="nextTo"/>
        <c:crossAx val="90752512"/>
        <c:crosses val="autoZero"/>
        <c:crossBetween val="between"/>
      </c:valAx>
    </c:plotArea>
    <c:legend>
      <c:legendPos val="b"/>
      <c:layout>
        <c:manualLayout>
          <c:xMode val="edge"/>
          <c:yMode val="edge"/>
          <c:x val="0.73557910969612561"/>
          <c:y val="9.3954948669391011E-2"/>
          <c:w val="0.24989552521114741"/>
          <c:h val="0.83682904113775713"/>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1987,15km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i="0" u="none"/>
            <a:t>12,19</a:t>
          </a:r>
          <a:endParaRPr lang="es-ES" b="1"/>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10443" custLinFactNeighborY="-5342"/>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30CDB461-F4CE-486E-BB76-2896B149EEA1}" type="presOf" srcId="{F52A5D61-5B52-41D6-82AD-1AB126421323}" destId="{53641B60-3D2A-48DF-8978-B44702B50950}" srcOrd="0" destOrd="0" presId="urn:microsoft.com/office/officeart/2005/8/layout/hList9"/>
    <dgm:cxn modelId="{C5B48964-DABA-4A6E-9892-43FEB456B18F}" type="presOf" srcId="{5A345620-AAE9-43AC-BFA5-7DCF838F6E6A}" destId="{BF6713A8-036E-43D7-9142-70FA401CC8E0}" srcOrd="0" destOrd="0" presId="urn:microsoft.com/office/officeart/2005/8/layout/hList9"/>
    <dgm:cxn modelId="{34B7FD6E-6CDC-4E77-A5C3-AEB0094951D1}" type="presOf" srcId="{F52A5D61-5B52-41D6-82AD-1AB126421323}" destId="{A37BC357-048C-4C8A-9C7C-39AAB06E79AE}" srcOrd="1" destOrd="0" presId="urn:microsoft.com/office/officeart/2005/8/layout/hList9"/>
    <dgm:cxn modelId="{A3CD7E36-CD76-4FD7-AEE5-5E600344D1DE}" srcId="{8A25AA0E-05A3-48A4-9066-D86732F11EE6}" destId="{F52A5D61-5B52-41D6-82AD-1AB126421323}" srcOrd="0" destOrd="0" parTransId="{44CB80DE-7E59-49AB-834D-195C1AEC6F98}" sibTransId="{E6BF93AC-B433-416D-AA9F-D813E2E7E394}"/>
    <dgm:cxn modelId="{B4D7B75F-EEBF-465C-98A1-5D3AB422E8F3}" srcId="{18A8730F-81C8-4E32-8AFC-F641D9564C32}" destId="{5A345620-AAE9-43AC-BFA5-7DCF838F6E6A}" srcOrd="0" destOrd="0" parTransId="{E6081994-E4C2-4952-BBDE-14351334798F}" sibTransId="{0DB3948C-1A0B-476A-81D8-3AAF2857D4B8}"/>
    <dgm:cxn modelId="{F23661FA-D4D5-4F66-9766-BE013364C55A}" srcId="{5A345620-AAE9-43AC-BFA5-7DCF838F6E6A}" destId="{DC8F0761-D699-4726-9FCA-759596682644}" srcOrd="0" destOrd="0" parTransId="{BCF338E4-6CE5-47FC-8844-97E4499475F5}" sibTransId="{3D522E44-48E3-4E26-A847-8B9E2C2F175D}"/>
    <dgm:cxn modelId="{3D83D3C2-3760-401D-81E6-FAC8B25A883B}" type="presOf" srcId="{DC8F0761-D699-4726-9FCA-759596682644}" destId="{7E56BCF3-9CB5-4F8B-BE2F-0C63200680D4}" srcOrd="0" destOrd="0" presId="urn:microsoft.com/office/officeart/2005/8/layout/hList9"/>
    <dgm:cxn modelId="{23AA2D69-7108-4F5C-BB62-FD6A8AED9AC0}" type="presOf" srcId="{8A25AA0E-05A3-48A4-9066-D86732F11EE6}" destId="{575C1222-BBA2-426D-9CA7-C61006236803}" srcOrd="0" destOrd="0" presId="urn:microsoft.com/office/officeart/2005/8/layout/hList9"/>
    <dgm:cxn modelId="{2D28767A-7E7D-4ED0-BC47-2E9B53016720}" type="presOf" srcId="{DC8F0761-D699-4726-9FCA-759596682644}" destId="{DACECD24-1E16-43E4-80BE-26CFAFDBDD5C}" srcOrd="1" destOrd="0" presId="urn:microsoft.com/office/officeart/2005/8/layout/hList9"/>
    <dgm:cxn modelId="{8840D964-E167-47CF-8AFE-54CEAE2F72E5}" type="presOf" srcId="{18A8730F-81C8-4E32-8AFC-F641D9564C32}" destId="{E62352AE-7A92-409B-A693-FF5F5F371E72}" srcOrd="0"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3301C5E3-D047-4325-97DD-09A4F0FD155E}" type="presParOf" srcId="{E62352AE-7A92-409B-A693-FF5F5F371E72}" destId="{601C966D-3AF6-4118-B620-1E3EFBE740C9}" srcOrd="0" destOrd="0" presId="urn:microsoft.com/office/officeart/2005/8/layout/hList9"/>
    <dgm:cxn modelId="{C8391EBA-F2B7-47C1-8F04-0DF9CA171FAF}" type="presParOf" srcId="{E62352AE-7A92-409B-A693-FF5F5F371E72}" destId="{F36D099F-EEB4-4F98-872E-B1D06C65E133}" srcOrd="1" destOrd="0" presId="urn:microsoft.com/office/officeart/2005/8/layout/hList9"/>
    <dgm:cxn modelId="{99BFB375-D04C-41EB-8C47-F3FEA8E0F282}" type="presParOf" srcId="{F36D099F-EEB4-4F98-872E-B1D06C65E133}" destId="{DB5C4403-791E-4B02-859B-EC3F5B33D810}" srcOrd="0" destOrd="0" presId="urn:microsoft.com/office/officeart/2005/8/layout/hList9"/>
    <dgm:cxn modelId="{15D7B013-4419-4D0B-AD41-1A52C762990A}" type="presParOf" srcId="{F36D099F-EEB4-4F98-872E-B1D06C65E133}" destId="{8F52367C-0189-4D38-8029-7D76FCD93C77}" srcOrd="1" destOrd="0" presId="urn:microsoft.com/office/officeart/2005/8/layout/hList9"/>
    <dgm:cxn modelId="{F270A3E5-3B31-40AD-84BB-AB0BACF7E790}" type="presParOf" srcId="{8F52367C-0189-4D38-8029-7D76FCD93C77}" destId="{7E56BCF3-9CB5-4F8B-BE2F-0C63200680D4}" srcOrd="0" destOrd="0" presId="urn:microsoft.com/office/officeart/2005/8/layout/hList9"/>
    <dgm:cxn modelId="{F7846A9A-2C3B-48E9-BAA2-941A5D12DDF5}" type="presParOf" srcId="{8F52367C-0189-4D38-8029-7D76FCD93C77}" destId="{DACECD24-1E16-43E4-80BE-26CFAFDBDD5C}" srcOrd="1" destOrd="0" presId="urn:microsoft.com/office/officeart/2005/8/layout/hList9"/>
    <dgm:cxn modelId="{020A9420-C9E3-4B4D-92CF-15B03DFF064E}" type="presParOf" srcId="{E62352AE-7A92-409B-A693-FF5F5F371E72}" destId="{5246FFAB-65CC-4258-8CBF-5E13D423474C}" srcOrd="2" destOrd="0" presId="urn:microsoft.com/office/officeart/2005/8/layout/hList9"/>
    <dgm:cxn modelId="{1EA53CBC-14BC-455A-9764-15B69465697A}" type="presParOf" srcId="{E62352AE-7A92-409B-A693-FF5F5F371E72}" destId="{BF6713A8-036E-43D7-9142-70FA401CC8E0}" srcOrd="3" destOrd="0" presId="urn:microsoft.com/office/officeart/2005/8/layout/hList9"/>
    <dgm:cxn modelId="{0AA45FCC-823F-414D-B8EA-9BEE642AD2F6}" type="presParOf" srcId="{E62352AE-7A92-409B-A693-FF5F5F371E72}" destId="{FB6E445D-BFE8-4AE0-9399-C0EECE766FC0}" srcOrd="4" destOrd="0" presId="urn:microsoft.com/office/officeart/2005/8/layout/hList9"/>
    <dgm:cxn modelId="{D826E45A-8A63-49A8-B18A-2EFE70244663}" type="presParOf" srcId="{E62352AE-7A92-409B-A693-FF5F5F371E72}" destId="{99EAC4E4-9F15-4285-B02D-55B2D929CDCE}" srcOrd="5" destOrd="0" presId="urn:microsoft.com/office/officeart/2005/8/layout/hList9"/>
    <dgm:cxn modelId="{9F5EE90A-255E-455B-9C37-7E736C78F794}" type="presParOf" srcId="{E62352AE-7A92-409B-A693-FF5F5F371E72}" destId="{C29BD979-117A-4098-82FD-CF9E1B668D9D}" srcOrd="6" destOrd="0" presId="urn:microsoft.com/office/officeart/2005/8/layout/hList9"/>
    <dgm:cxn modelId="{C30AA73F-9F93-4899-A61E-8B74EC1C7471}" type="presParOf" srcId="{C29BD979-117A-4098-82FD-CF9E1B668D9D}" destId="{A6CEB835-8B0C-4E1D-9DF6-36136D68911F}" srcOrd="0" destOrd="0" presId="urn:microsoft.com/office/officeart/2005/8/layout/hList9"/>
    <dgm:cxn modelId="{CD01BAF9-025B-459C-B600-604787A791FA}" type="presParOf" srcId="{C29BD979-117A-4098-82FD-CF9E1B668D9D}" destId="{43FC3AB4-C3DD-4D28-BDA2-12470C5C44D6}" srcOrd="1" destOrd="0" presId="urn:microsoft.com/office/officeart/2005/8/layout/hList9"/>
    <dgm:cxn modelId="{8933BEE4-2B70-4EDA-A665-74E5B2B801F6}" type="presParOf" srcId="{43FC3AB4-C3DD-4D28-BDA2-12470C5C44D6}" destId="{53641B60-3D2A-48DF-8978-B44702B50950}" srcOrd="0" destOrd="0" presId="urn:microsoft.com/office/officeart/2005/8/layout/hList9"/>
    <dgm:cxn modelId="{387759B1-4646-47DF-93CD-B4D87E64B530}" type="presParOf" srcId="{43FC3AB4-C3DD-4D28-BDA2-12470C5C44D6}" destId="{A37BC357-048C-4C8A-9C7C-39AAB06E79AE}" srcOrd="1" destOrd="0" presId="urn:microsoft.com/office/officeart/2005/8/layout/hList9"/>
    <dgm:cxn modelId="{7844C0EA-4C7B-4D72-BB56-93DE181F2DCB}" type="presParOf" srcId="{E62352AE-7A92-409B-A693-FF5F5F371E72}" destId="{8196E043-9A47-465E-9AB6-9778260CB821}" srcOrd="7" destOrd="0" presId="urn:microsoft.com/office/officeart/2005/8/layout/hList9"/>
    <dgm:cxn modelId="{11B7326A-F07D-4AA3-B630-03BB4454FD63}"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46120" y="438409"/>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1987,15km</a:t>
          </a:r>
          <a:r>
            <a:rPr lang="es-ES" sz="1500" b="1" i="0" u="none" kern="1200" baseline="30000"/>
            <a:t>2</a:t>
          </a:r>
          <a:endParaRPr lang="es-ES" sz="1500" b="1" kern="1200" baseline="30000"/>
        </a:p>
      </dsp:txBody>
      <dsp:txXfrm>
        <a:off x="1307913" y="438409"/>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i="0" u="none" kern="1200"/>
            <a:t>12,19</a:t>
          </a:r>
          <a:endParaRPr lang="es-ES" sz="1500" b="1"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9A4423-BA28-48F2-92BA-2EEA98EC5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24</Pages>
  <Words>1808</Words>
  <Characters>9944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Caracterización territorial de (BAJO ARAGÓN MATARRAÑA)</vt:lpstr>
    </vt:vector>
  </TitlesOfParts>
  <Company/>
  <LinksUpToDate>false</LinksUpToDate>
  <CharactersWithSpaces>11729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Mar de Aragón. Centro para el Desarrollo de las Comarcas del Mar de Aragon (Cedemar)</dc:title>
  <dc:subject/>
  <dc:creator>miriam escorza torrijos</dc:creator>
  <cp:keywords/>
  <dc:description/>
  <cp:lastModifiedBy>miriam escorza torrijos</cp:lastModifiedBy>
  <cp:revision>163</cp:revision>
  <dcterms:created xsi:type="dcterms:W3CDTF">2014-12-16T11:01:00Z</dcterms:created>
  <dcterms:modified xsi:type="dcterms:W3CDTF">2015-02-19T10:15:00Z</dcterms:modified>
</cp:coreProperties>
</file>