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000000" w:themeColor="text1"/>
          <w:sz w:val="32"/>
          <w:szCs w:val="32"/>
        </w:rPr>
        <w:id w:val="-1547837815"/>
        <w:docPartObj>
          <w:docPartGallery w:val="Cover Pages"/>
          <w:docPartUnique/>
        </w:docPartObj>
      </w:sdtPr>
      <w:sdtEndPr>
        <w:rPr>
          <w:color w:val="auto"/>
          <w:sz w:val="22"/>
          <w:szCs w:val="22"/>
        </w:rPr>
      </w:sdtEndPr>
      <w:sdtContent>
        <w:p w:rsidR="005047FE" w:rsidRPr="005047FE" w:rsidRDefault="005047FE" w:rsidP="00DA6CCE">
          <w:pPr>
            <w:jc w:val="both"/>
            <w:rPr>
              <w:color w:val="000000" w:themeColor="text1"/>
              <w:sz w:val="28"/>
              <w:szCs w:val="28"/>
            </w:rPr>
          </w:pPr>
          <w:r w:rsidRPr="005047FE">
            <w:rPr>
              <w:noProof/>
              <w:color w:val="EEECE1" w:themeColor="background2"/>
              <w:sz w:val="28"/>
              <w:szCs w:val="28"/>
              <w:lang w:eastAsia="es-ES"/>
            </w:rPr>
            <mc:AlternateContent>
              <mc:Choice Requires="wpg">
                <w:drawing>
                  <wp:anchor distT="0" distB="0" distL="114300" distR="114300" simplePos="0" relativeHeight="251659264" behindDoc="1" locked="0" layoutInCell="0" allowOverlap="1" wp14:anchorId="1FC0B507" wp14:editId="3EED8211">
                    <wp:simplePos x="0" y="0"/>
                    <wp:positionH relativeFrom="page">
                      <wp:align>center</wp:align>
                    </wp:positionH>
                    <wp:positionV relativeFrom="page">
                      <wp:align>center</wp:align>
                    </wp:positionV>
                    <wp:extent cx="7772400" cy="10058400"/>
                    <wp:effectExtent l="0" t="0" r="2540" b="0"/>
                    <wp:wrapNone/>
                    <wp:docPr id="383"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upo 39" o:spid="_x0000_s1026" style="position:absolute;margin-left:0;margin-top:0;width:612pt;height:11in;z-index:-25165721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RsUA&#10;AADcAAAADwAAAGRycy9kb3ducmV2LnhtbESPQWvCQBSE74X+h+UJvdWNWkOIbkIVBAtSWvXg8ZF9&#10;JsHs27C7avrv3UKhx2FmvmGW5WA6cSPnW8sKJuMEBHFldcu1guNh85qB8AFZY2eZFPyQh7J4flpi&#10;ru2dv+m2D7WIEPY5KmhC6HMpfdWQQT+2PXH0ztYZDFG6WmqH9wg3nZwmSSoNthwXGuxp3VB12V+N&#10;gvXJyTllu2076I/ZZzDp12qeKvUyGt4XIAIN4T/8195qBbPsDX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GxQAAANwAAAAPAAAAAAAAAAAAAAAAAJgCAABkcnMv&#10;ZG93bnJldi54bWxQSwUGAAAAAAQABAD1AAAAigMAAAAA&#10;" fillcolor="#5f497a [2407]"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r w:rsidR="00FA17CC">
            <w:rPr>
              <w:color w:val="000000" w:themeColor="text1"/>
              <w:sz w:val="28"/>
              <w:szCs w:val="28"/>
            </w:rPr>
            <w:t>Febrero 2015</w:t>
          </w:r>
        </w:p>
        <w:p w:rsidR="005047FE" w:rsidRPr="007D2958" w:rsidRDefault="005047FE" w:rsidP="00DA6CCE">
          <w:pPr>
            <w:jc w:val="both"/>
            <w:rPr>
              <w:b/>
              <w:color w:val="FFFFFF" w:themeColor="background1"/>
              <w:sz w:val="44"/>
              <w:szCs w:val="32"/>
            </w:rPr>
          </w:pPr>
          <w:r>
            <w:rPr>
              <w:b/>
              <w:noProof/>
              <w:color w:val="000000" w:themeColor="text1"/>
              <w:sz w:val="32"/>
              <w:szCs w:val="32"/>
              <w:lang w:eastAsia="es-ES"/>
            </w:rPr>
            <mc:AlternateContent>
              <mc:Choice Requires="wps">
                <w:drawing>
                  <wp:anchor distT="0" distB="0" distL="114300" distR="114300" simplePos="0" relativeHeight="251660288" behindDoc="1" locked="0" layoutInCell="1" allowOverlap="1" wp14:anchorId="38A3ACAE" wp14:editId="7A245544">
                    <wp:simplePos x="0" y="0"/>
                    <wp:positionH relativeFrom="column">
                      <wp:posOffset>-701738</wp:posOffset>
                    </wp:positionH>
                    <wp:positionV relativeFrom="paragraph">
                      <wp:posOffset>91440</wp:posOffset>
                    </wp:positionV>
                    <wp:extent cx="6804279" cy="1494263"/>
                    <wp:effectExtent l="0" t="0" r="0" b="0"/>
                    <wp:wrapNone/>
                    <wp:docPr id="2" name="2 Rectángulo"/>
                    <wp:cNvGraphicFramePr/>
                    <a:graphic xmlns:a="http://schemas.openxmlformats.org/drawingml/2006/main">
                      <a:graphicData uri="http://schemas.microsoft.com/office/word/2010/wordprocessingShape">
                        <wps:wsp>
                          <wps:cNvSpPr/>
                          <wps:spPr>
                            <a:xfrm>
                              <a:off x="0" y="0"/>
                              <a:ext cx="6804279" cy="1494263"/>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D2958" w:rsidRPr="007D2958" w:rsidRDefault="007D2958" w:rsidP="007D2958">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 Rectángulo" o:spid="_x0000_s1026" style="position:absolute;left:0;text-align:left;margin-left:-55.25pt;margin-top:7.2pt;width:535.75pt;height:117.6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" fillcolor="#5f497a [2407]" stroked="f" strokeweight="2pt">
                    <v:textbox>
                      <w:txbxContent>
                        <w:p w:rsidR="007D2958" w:rsidRPr="007D2958" w:rsidRDefault="007D2958" w:rsidP="007D2958">
                          <w:pPr>
                            <w:jc w:val="center"/>
                            <w:rPr>
                              <w:color w:val="FFFFFF" w:themeColor="background1"/>
                            </w:rPr>
                          </w:pPr>
                        </w:p>
                      </w:txbxContent>
                    </v:textbox>
                  </v:rect>
                </w:pict>
              </mc:Fallback>
            </mc:AlternateContent>
          </w:r>
        </w:p>
        <w:sdt>
          <w:sdtPr>
            <w:rPr>
              <w:b/>
              <w:color w:val="FFFFFF" w:themeColor="background1"/>
              <w:sz w:val="32"/>
            </w:rPr>
            <w:alias w:val="Título"/>
            <w:id w:val="-2043285968"/>
            <w:dataBinding w:prefixMappings="xmlns:ns0='http://schemas.openxmlformats.org/package/2006/metadata/core-properties' xmlns:ns1='http://purl.org/dc/elements/1.1/'" w:xpath="/ns0:coreProperties[1]/ns1:title[1]" w:storeItemID="{6C3C8BC8-F283-45AE-878A-BAB7291924A1}"/>
            <w:text/>
          </w:sdtPr>
          <w:sdtEndPr/>
          <w:sdtContent>
            <w:p w:rsidR="005047FE" w:rsidRPr="007D2958" w:rsidRDefault="007D2958" w:rsidP="00F36D27">
              <w:pPr>
                <w:jc w:val="center"/>
                <w:rPr>
                  <w:b/>
                  <w:color w:val="FFFFFF" w:themeColor="background1"/>
                  <w:sz w:val="44"/>
                  <w:szCs w:val="32"/>
                </w:rPr>
              </w:pPr>
              <w:r w:rsidRPr="007D2958">
                <w:rPr>
                  <w:b/>
                  <w:color w:val="FFFFFF" w:themeColor="background1"/>
                  <w:sz w:val="32"/>
                </w:rPr>
                <w:t xml:space="preserve">Caracterización territorial de </w:t>
              </w:r>
              <w:proofErr w:type="spellStart"/>
              <w:r w:rsidRPr="007D2958">
                <w:rPr>
                  <w:b/>
                  <w:color w:val="FFFFFF" w:themeColor="background1"/>
                  <w:sz w:val="32"/>
                </w:rPr>
                <w:t>Sobrarbe</w:t>
              </w:r>
              <w:proofErr w:type="spellEnd"/>
              <w:r w:rsidRPr="007D2958">
                <w:rPr>
                  <w:b/>
                  <w:color w:val="FFFFFF" w:themeColor="background1"/>
                  <w:sz w:val="32"/>
                </w:rPr>
                <w:t xml:space="preserve"> y La Ribagorza. Centro para el Desarrollo del </w:t>
              </w:r>
              <w:proofErr w:type="spellStart"/>
              <w:r w:rsidRPr="007D2958">
                <w:rPr>
                  <w:b/>
                  <w:color w:val="FFFFFF" w:themeColor="background1"/>
                  <w:sz w:val="32"/>
                </w:rPr>
                <w:t>Sobrarbe</w:t>
              </w:r>
              <w:proofErr w:type="spellEnd"/>
              <w:r w:rsidRPr="007D2958">
                <w:rPr>
                  <w:b/>
                  <w:color w:val="FFFFFF" w:themeColor="background1"/>
                  <w:sz w:val="32"/>
                </w:rPr>
                <w:t xml:space="preserve"> y la Ribagorza (</w:t>
              </w:r>
              <w:proofErr w:type="spellStart"/>
              <w:r w:rsidRPr="007D2958">
                <w:rPr>
                  <w:b/>
                  <w:color w:val="FFFFFF" w:themeColor="background1"/>
                  <w:sz w:val="32"/>
                </w:rPr>
                <w:t>Cedesor</w:t>
              </w:r>
              <w:proofErr w:type="spellEnd"/>
              <w:r w:rsidRPr="007D2958">
                <w:rPr>
                  <w:b/>
                  <w:color w:val="FFFFFF" w:themeColor="background1"/>
                  <w:sz w:val="32"/>
                </w:rPr>
                <w:t>)</w:t>
              </w:r>
            </w:p>
          </w:sdtContent>
        </w:sdt>
        <w:p w:rsidR="005047FE" w:rsidRDefault="005047FE" w:rsidP="00DA6CCE">
          <w:pPr>
            <w:jc w:val="both"/>
            <w:rPr>
              <w:b/>
              <w:color w:val="000000" w:themeColor="text1"/>
              <w:sz w:val="32"/>
              <w:szCs w:val="32"/>
            </w:rPr>
          </w:pPr>
        </w:p>
        <w:p w:rsidR="005047FE" w:rsidRPr="005047FE" w:rsidRDefault="008F1315" w:rsidP="008F1315">
          <w:pPr>
            <w:tabs>
              <w:tab w:val="left" w:pos="1984"/>
            </w:tabs>
            <w:jc w:val="both"/>
            <w:rPr>
              <w:b/>
              <w:color w:val="000000" w:themeColor="text1"/>
              <w:sz w:val="32"/>
              <w:szCs w:val="32"/>
            </w:rPr>
          </w:pPr>
          <w:r>
            <w:rPr>
              <w:b/>
              <w:color w:val="000000" w:themeColor="text1"/>
              <w:sz w:val="32"/>
              <w:szCs w:val="32"/>
            </w:rPr>
            <w:tab/>
          </w:r>
        </w:p>
        <w:p w:rsidR="005B7974" w:rsidRDefault="005B7974" w:rsidP="007D2958">
          <w:pPr>
            <w:tabs>
              <w:tab w:val="left" w:pos="3120"/>
            </w:tabs>
            <w:jc w:val="both"/>
            <w:rPr>
              <w:noProof/>
              <w:lang w:eastAsia="es-ES"/>
            </w:rPr>
          </w:pPr>
        </w:p>
        <w:p w:rsidR="005B7974" w:rsidRDefault="005B7974" w:rsidP="00DA6CCE">
          <w:pPr>
            <w:jc w:val="both"/>
            <w:rPr>
              <w:noProof/>
              <w:lang w:eastAsia="es-ES"/>
            </w:rPr>
          </w:pPr>
        </w:p>
        <w:p w:rsidR="005B7974" w:rsidRDefault="007D2958" w:rsidP="007D2958">
          <w:pPr>
            <w:tabs>
              <w:tab w:val="left" w:pos="6540"/>
            </w:tabs>
            <w:jc w:val="center"/>
            <w:rPr>
              <w:noProof/>
              <w:lang w:eastAsia="es-ES"/>
            </w:rPr>
          </w:pPr>
          <w:r>
            <w:rPr>
              <w:noProof/>
              <w:lang w:eastAsia="es-ES"/>
            </w:rPr>
            <w:drawing>
              <wp:inline distT="0" distB="0" distL="0" distR="0" wp14:anchorId="1BFC3377" wp14:editId="354F1421">
                <wp:extent cx="4609654" cy="4965700"/>
                <wp:effectExtent l="0" t="0" r="635" b="6350"/>
                <wp:docPr id="15" name="Imagen 15" descr="http://aragonrural.org/wp-content/uploads/2010/07/mapa-sobrar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ragonrural.org/wp-content/uploads/2010/07/mapa-sobrarb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8259" cy="4974969"/>
                        </a:xfrm>
                        <a:prstGeom prst="rect">
                          <a:avLst/>
                        </a:prstGeom>
                        <a:noFill/>
                        <a:ln>
                          <a:noFill/>
                        </a:ln>
                      </pic:spPr>
                    </pic:pic>
                  </a:graphicData>
                </a:graphic>
              </wp:inline>
            </w:drawing>
          </w:r>
        </w:p>
        <w:p w:rsidR="005B7974" w:rsidRDefault="005B7974" w:rsidP="00DA6CCE">
          <w:pPr>
            <w:jc w:val="both"/>
            <w:rPr>
              <w:noProof/>
              <w:lang w:eastAsia="es-ES"/>
            </w:rPr>
          </w:pPr>
        </w:p>
        <w:tbl>
          <w:tblPr>
            <w:tblpPr w:leftFromText="187" w:rightFromText="187" w:vertAnchor="page" w:horzAnchor="margin" w:tblpY="14861"/>
            <w:tblOverlap w:val="never"/>
            <w:tblW w:w="0" w:type="auto"/>
            <w:tblLook w:val="04A0" w:firstRow="1" w:lastRow="0" w:firstColumn="1" w:lastColumn="0" w:noHBand="0" w:noVBand="1"/>
          </w:tblPr>
          <w:tblGrid>
            <w:gridCol w:w="8720"/>
          </w:tblGrid>
          <w:tr w:rsidR="007D2958" w:rsidTr="007D2958">
            <w:trPr>
              <w:trHeight w:val="360"/>
            </w:trPr>
            <w:tc>
              <w:tcPr>
                <w:tcW w:w="8720" w:type="dxa"/>
              </w:tcPr>
              <w:p w:rsidR="007D2958" w:rsidRPr="005047FE" w:rsidRDefault="007D2958" w:rsidP="007D2958">
                <w:pPr>
                  <w:pStyle w:val="Sinespaciado"/>
                  <w:jc w:val="both"/>
                  <w:rPr>
                    <w:b/>
                    <w:color w:val="000000" w:themeColor="text1"/>
                    <w:sz w:val="32"/>
                    <w:szCs w:val="32"/>
                  </w:rPr>
                </w:pPr>
                <w:r w:rsidRPr="005047FE">
                  <w:rPr>
                    <w:b/>
                    <w:color w:val="000000" w:themeColor="text1"/>
                    <w:sz w:val="32"/>
                    <w:szCs w:val="32"/>
                  </w:rPr>
                  <w:t>RADR</w:t>
                </w:r>
              </w:p>
            </w:tc>
          </w:tr>
        </w:tbl>
        <w:p w:rsidR="005B7974" w:rsidRDefault="005B7974" w:rsidP="00DA6CCE">
          <w:pPr>
            <w:jc w:val="both"/>
            <w:rPr>
              <w:noProof/>
              <w:lang w:eastAsia="es-ES"/>
            </w:rPr>
          </w:pPr>
        </w:p>
        <w:p w:rsidR="00974B32" w:rsidRDefault="00974B32" w:rsidP="00DA6CCE">
          <w:pPr>
            <w:jc w:val="both"/>
            <w:rPr>
              <w:noProof/>
              <w:lang w:eastAsia="es-ES"/>
            </w:rPr>
          </w:pPr>
        </w:p>
        <w:p w:rsidR="00425194" w:rsidRDefault="008F1315" w:rsidP="00DA6CCE">
          <w:pPr>
            <w:jc w:val="both"/>
            <w:rPr>
              <w:noProof/>
              <w:lang w:eastAsia="es-ES"/>
            </w:rPr>
          </w:pPr>
          <w:r>
            <w:rPr>
              <w:noProof/>
              <w:lang w:eastAsia="es-ES"/>
            </w:rPr>
            <w:lastRenderedPageBreak/>
            <mc:AlternateContent>
              <mc:Choice Requires="wps">
                <w:drawing>
                  <wp:anchor distT="0" distB="0" distL="114300" distR="114300" simplePos="0" relativeHeight="251661312" behindDoc="0" locked="0" layoutInCell="1" allowOverlap="1" wp14:anchorId="5EE80B89" wp14:editId="070F6E19">
                    <wp:simplePos x="0" y="0"/>
                    <wp:positionH relativeFrom="column">
                      <wp:posOffset>-198755</wp:posOffset>
                    </wp:positionH>
                    <wp:positionV relativeFrom="paragraph">
                      <wp:posOffset>-38100</wp:posOffset>
                    </wp:positionV>
                    <wp:extent cx="1615440" cy="426720"/>
                    <wp:effectExtent l="76200" t="38100" r="99060" b="106680"/>
                    <wp:wrapNone/>
                    <wp:docPr id="4" name="4 Rectángulo redondeado"/>
                    <wp:cNvGraphicFramePr/>
                    <a:graphic xmlns:a="http://schemas.openxmlformats.org/drawingml/2006/main">
                      <a:graphicData uri="http://schemas.microsoft.com/office/word/2010/wordprocessingShape">
                        <wps:wsp>
                          <wps:cNvSpPr/>
                          <wps:spPr>
                            <a:xfrm>
                              <a:off x="0" y="0"/>
                              <a:ext cx="1615440" cy="426720"/>
                            </a:xfrm>
                            <a:prstGeom prst="roundRect">
                              <a:avLst/>
                            </a:prstGeom>
                            <a:solidFill>
                              <a:schemeClr val="accent4">
                                <a:lumMod val="75000"/>
                              </a:schemeClr>
                            </a:solidFill>
                            <a:ln w="31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lnRef>
                            <a:fillRef idx="1">
                              <a:schemeClr val="lt1"/>
                            </a:fillRef>
                            <a:effectRef idx="0">
                              <a:schemeClr val="dk1"/>
                            </a:effectRef>
                            <a:fontRef idx="minor">
                              <a:schemeClr val="dk1"/>
                            </a:fontRef>
                          </wps:style>
                          <wps:txbx>
                            <w:txbxContent>
                              <w:p w:rsidR="00425194" w:rsidRPr="00974B32" w:rsidRDefault="008222AC" w:rsidP="00425194">
                                <w:pPr>
                                  <w:jc w:val="center"/>
                                  <w:rPr>
                                    <w:b/>
                                    <w:color w:val="FFFFFF" w:themeColor="background1"/>
                                    <w:sz w:val="28"/>
                                    <w:szCs w:val="28"/>
                                  </w:rPr>
                                </w:pPr>
                                <w:r>
                                  <w:rPr>
                                    <w:b/>
                                    <w:color w:val="FFFFFF" w:themeColor="background1"/>
                                    <w:sz w:val="28"/>
                                    <w:szCs w:val="28"/>
                                  </w:rPr>
                                  <w:t>DEMOGRAFÍA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4 Rectángulo redondeado" o:spid="_x0000_s1026" style="position:absolute;left:0;text-align:left;margin-left:-15.65pt;margin-top:-3pt;width:127.2pt;height:3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" fillcolor="#5f497a [2407]" stroked="f" strokeweight=".25pt">
                    <v:shadow on="t" color="black" opacity="20971f" offset="0,2.2pt"/>
                    <v:textbox>
                      <w:txbxContent>
                        <w:p w:rsidR="00425194" w:rsidRPr="00974B32" w:rsidRDefault="008222AC" w:rsidP="00425194">
                          <w:pPr>
                            <w:jc w:val="center"/>
                            <w:rPr>
                              <w:b/>
                              <w:color w:val="FFFFFF" w:themeColor="background1"/>
                              <w:sz w:val="28"/>
                              <w:szCs w:val="28"/>
                            </w:rPr>
                          </w:pPr>
                          <w:r>
                            <w:rPr>
                              <w:b/>
                              <w:color w:val="FFFFFF" w:themeColor="background1"/>
                              <w:sz w:val="28"/>
                              <w:szCs w:val="28"/>
                            </w:rPr>
                            <w:t>DEMOGRAFÍA</w:t>
                          </w:r>
                        </w:p>
                      </w:txbxContent>
                    </v:textbox>
                  </v:roundrect>
                </w:pict>
              </mc:Fallback>
            </mc:AlternateContent>
          </w:r>
        </w:p>
        <w:p w:rsidR="008F1315" w:rsidRDefault="008F1315" w:rsidP="00DA6CCE">
          <w:pPr>
            <w:jc w:val="both"/>
            <w:rPr>
              <w:noProof/>
              <w:lang w:eastAsia="es-ES"/>
            </w:rPr>
          </w:pPr>
        </w:p>
        <w:p w:rsidR="00F34F01" w:rsidRDefault="00425194" w:rsidP="00DA6CCE">
          <w:pPr>
            <w:jc w:val="both"/>
            <w:rPr>
              <w:noProof/>
              <w:lang w:eastAsia="es-ES"/>
            </w:rPr>
          </w:pPr>
          <w:r>
            <w:rPr>
              <w:noProof/>
              <w:lang w:eastAsia="es-ES"/>
            </w:rPr>
            <w:drawing>
              <wp:inline distT="0" distB="0" distL="0" distR="0" wp14:anchorId="75FF7B10" wp14:editId="652107AD">
                <wp:extent cx="5402580" cy="1211580"/>
                <wp:effectExtent l="76200" t="0" r="83820" b="4572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482A0A" w:rsidRDefault="00482A0A" w:rsidP="00DA6CCE">
          <w:pPr>
            <w:jc w:val="both"/>
            <w:rPr>
              <w:noProof/>
              <w:lang w:eastAsia="es-ES"/>
            </w:rPr>
          </w:pPr>
        </w:p>
        <w:tbl>
          <w:tblPr>
            <w:tblStyle w:val="Sombreadomedio1-nfasis4"/>
            <w:tblW w:w="8606" w:type="dxa"/>
            <w:tblLook w:val="04A0" w:firstRow="1" w:lastRow="0" w:firstColumn="1" w:lastColumn="0" w:noHBand="0" w:noVBand="1"/>
          </w:tblPr>
          <w:tblGrid>
            <w:gridCol w:w="2876"/>
            <w:gridCol w:w="1647"/>
            <w:gridCol w:w="1392"/>
            <w:gridCol w:w="1299"/>
            <w:gridCol w:w="1392"/>
          </w:tblGrid>
          <w:tr w:rsidR="00382B5B" w:rsidRPr="00382B5B" w:rsidTr="00382B5B">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876" w:type="dxa"/>
                <w:noWrap/>
                <w:hideMark/>
              </w:tcPr>
              <w:p w:rsidR="00382B5B" w:rsidRPr="00382B5B" w:rsidRDefault="00382B5B" w:rsidP="00382B5B">
                <w:pPr>
                  <w:jc w:val="center"/>
                  <w:rPr>
                    <w:rFonts w:ascii="Calibri" w:eastAsia="Times New Roman" w:hAnsi="Calibri" w:cs="Times New Roman"/>
                    <w:sz w:val="20"/>
                    <w:szCs w:val="20"/>
                    <w:lang w:eastAsia="es-ES"/>
                  </w:rPr>
                </w:pPr>
                <w:r w:rsidRPr="00382B5B">
                  <w:rPr>
                    <w:rFonts w:ascii="Calibri" w:eastAsia="Times New Roman" w:hAnsi="Calibri" w:cs="Times New Roman"/>
                    <w:sz w:val="20"/>
                    <w:szCs w:val="20"/>
                    <w:lang w:eastAsia="es-ES"/>
                  </w:rPr>
                  <w:t>GRUPO</w:t>
                </w:r>
              </w:p>
            </w:tc>
            <w:tc>
              <w:tcPr>
                <w:tcW w:w="1647" w:type="dxa"/>
                <w:noWrap/>
                <w:hideMark/>
              </w:tcPr>
              <w:p w:rsidR="00382B5B" w:rsidRPr="00382B5B" w:rsidRDefault="00382B5B" w:rsidP="00382B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s-ES"/>
                  </w:rPr>
                </w:pPr>
                <w:r w:rsidRPr="00382B5B">
                  <w:rPr>
                    <w:rFonts w:ascii="Calibri" w:eastAsia="Times New Roman" w:hAnsi="Calibri" w:cs="Times New Roman"/>
                    <w:sz w:val="20"/>
                    <w:szCs w:val="20"/>
                    <w:lang w:eastAsia="es-ES"/>
                  </w:rPr>
                  <w:t>CEDESOR</w:t>
                </w:r>
              </w:p>
            </w:tc>
            <w:tc>
              <w:tcPr>
                <w:tcW w:w="1392" w:type="dxa"/>
                <w:noWrap/>
                <w:hideMark/>
              </w:tcPr>
              <w:p w:rsidR="00382B5B" w:rsidRPr="00382B5B" w:rsidRDefault="00382B5B" w:rsidP="00382B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s-ES"/>
                  </w:rPr>
                </w:pPr>
              </w:p>
            </w:tc>
            <w:tc>
              <w:tcPr>
                <w:tcW w:w="1299" w:type="dxa"/>
                <w:noWrap/>
                <w:hideMark/>
              </w:tcPr>
              <w:p w:rsidR="00382B5B" w:rsidRPr="00382B5B" w:rsidRDefault="00382B5B" w:rsidP="00382B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s-ES"/>
                  </w:rPr>
                </w:pPr>
              </w:p>
            </w:tc>
            <w:tc>
              <w:tcPr>
                <w:tcW w:w="1392" w:type="dxa"/>
                <w:noWrap/>
                <w:hideMark/>
              </w:tcPr>
              <w:p w:rsidR="00382B5B" w:rsidRPr="00382B5B" w:rsidRDefault="00382B5B" w:rsidP="00382B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s-ES"/>
                  </w:rPr>
                </w:pPr>
              </w:p>
            </w:tc>
          </w:tr>
          <w:tr w:rsidR="00382B5B" w:rsidRPr="00382B5B" w:rsidTr="00382B5B">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876" w:type="dxa"/>
                <w:vMerge w:val="restart"/>
                <w:hideMark/>
              </w:tcPr>
              <w:p w:rsidR="00382B5B" w:rsidRPr="00382B5B" w:rsidRDefault="00382B5B" w:rsidP="00382B5B">
                <w:pPr>
                  <w:jc w:val="center"/>
                  <w:rPr>
                    <w:rFonts w:ascii="Calibri" w:eastAsia="Times New Roman" w:hAnsi="Calibri" w:cs="Times New Roman"/>
                    <w:sz w:val="20"/>
                    <w:szCs w:val="20"/>
                    <w:lang w:eastAsia="es-ES"/>
                  </w:rPr>
                </w:pPr>
                <w:r w:rsidRPr="00382B5B">
                  <w:rPr>
                    <w:rFonts w:ascii="Calibri" w:eastAsia="Times New Roman" w:hAnsi="Calibri" w:cs="Times New Roman"/>
                    <w:sz w:val="20"/>
                    <w:szCs w:val="20"/>
                    <w:lang w:eastAsia="es-ES"/>
                  </w:rPr>
                  <w:t>Clasificación zona</w:t>
                </w:r>
              </w:p>
            </w:tc>
            <w:tc>
              <w:tcPr>
                <w:tcW w:w="3039" w:type="dxa"/>
                <w:gridSpan w:val="2"/>
                <w:noWrap/>
                <w:hideMark/>
              </w:tcPr>
              <w:p w:rsidR="00382B5B" w:rsidRPr="00382B5B" w:rsidRDefault="00382B5B" w:rsidP="00382B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eastAsia="es-ES"/>
                  </w:rPr>
                </w:pPr>
                <w:r w:rsidRPr="00382B5B">
                  <w:rPr>
                    <w:rFonts w:ascii="Calibri" w:eastAsia="Times New Roman" w:hAnsi="Calibri" w:cs="Times New Roman"/>
                    <w:b/>
                    <w:bCs/>
                    <w:sz w:val="20"/>
                    <w:szCs w:val="20"/>
                    <w:lang w:eastAsia="es-ES"/>
                  </w:rPr>
                  <w:t>Población</w:t>
                </w:r>
              </w:p>
            </w:tc>
            <w:tc>
              <w:tcPr>
                <w:tcW w:w="2691" w:type="dxa"/>
                <w:gridSpan w:val="2"/>
                <w:noWrap/>
                <w:hideMark/>
              </w:tcPr>
              <w:p w:rsidR="00382B5B" w:rsidRPr="00382B5B" w:rsidRDefault="00382B5B" w:rsidP="00382B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eastAsia="es-ES"/>
                  </w:rPr>
                </w:pPr>
                <w:r w:rsidRPr="00382B5B">
                  <w:rPr>
                    <w:rFonts w:ascii="Calibri" w:eastAsia="Times New Roman" w:hAnsi="Calibri" w:cs="Times New Roman"/>
                    <w:b/>
                    <w:bCs/>
                    <w:sz w:val="20"/>
                    <w:szCs w:val="20"/>
                    <w:lang w:eastAsia="es-ES"/>
                  </w:rPr>
                  <w:t>Localidades</w:t>
                </w:r>
              </w:p>
            </w:tc>
          </w:tr>
          <w:tr w:rsidR="00382B5B" w:rsidRPr="00382B5B" w:rsidTr="00382B5B">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876" w:type="dxa"/>
                <w:vMerge/>
                <w:hideMark/>
              </w:tcPr>
              <w:p w:rsidR="00382B5B" w:rsidRPr="00382B5B" w:rsidRDefault="00382B5B" w:rsidP="00382B5B">
                <w:pPr>
                  <w:rPr>
                    <w:rFonts w:ascii="Calibri" w:eastAsia="Times New Roman" w:hAnsi="Calibri" w:cs="Times New Roman"/>
                    <w:sz w:val="20"/>
                    <w:szCs w:val="20"/>
                    <w:lang w:eastAsia="es-ES"/>
                  </w:rPr>
                </w:pPr>
              </w:p>
            </w:tc>
            <w:tc>
              <w:tcPr>
                <w:tcW w:w="1647" w:type="dxa"/>
                <w:noWrap/>
                <w:hideMark/>
              </w:tcPr>
              <w:p w:rsidR="00382B5B" w:rsidRPr="00382B5B" w:rsidRDefault="00382B5B" w:rsidP="00382B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lang w:eastAsia="es-ES"/>
                  </w:rPr>
                </w:pPr>
                <w:r w:rsidRPr="00382B5B">
                  <w:rPr>
                    <w:rFonts w:ascii="Calibri" w:eastAsia="Times New Roman" w:hAnsi="Calibri" w:cs="Times New Roman"/>
                    <w:b/>
                    <w:bCs/>
                    <w:sz w:val="20"/>
                    <w:szCs w:val="20"/>
                    <w:lang w:eastAsia="es-ES"/>
                  </w:rPr>
                  <w:t>Nº</w:t>
                </w:r>
              </w:p>
            </w:tc>
            <w:tc>
              <w:tcPr>
                <w:tcW w:w="1392" w:type="dxa"/>
                <w:noWrap/>
                <w:hideMark/>
              </w:tcPr>
              <w:p w:rsidR="00382B5B" w:rsidRPr="00382B5B" w:rsidRDefault="00382B5B" w:rsidP="00382B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lang w:eastAsia="es-ES"/>
                  </w:rPr>
                </w:pPr>
                <w:r w:rsidRPr="00382B5B">
                  <w:rPr>
                    <w:rFonts w:ascii="Calibri" w:eastAsia="Times New Roman" w:hAnsi="Calibri" w:cs="Times New Roman"/>
                    <w:b/>
                    <w:bCs/>
                    <w:sz w:val="20"/>
                    <w:szCs w:val="20"/>
                    <w:lang w:eastAsia="es-ES"/>
                  </w:rPr>
                  <w:t>%</w:t>
                </w:r>
              </w:p>
            </w:tc>
            <w:tc>
              <w:tcPr>
                <w:tcW w:w="1299" w:type="dxa"/>
                <w:noWrap/>
                <w:hideMark/>
              </w:tcPr>
              <w:p w:rsidR="00382B5B" w:rsidRPr="00382B5B" w:rsidRDefault="00382B5B" w:rsidP="00382B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lang w:eastAsia="es-ES"/>
                  </w:rPr>
                </w:pPr>
                <w:r w:rsidRPr="00382B5B">
                  <w:rPr>
                    <w:rFonts w:ascii="Calibri" w:eastAsia="Times New Roman" w:hAnsi="Calibri" w:cs="Times New Roman"/>
                    <w:b/>
                    <w:bCs/>
                    <w:sz w:val="20"/>
                    <w:szCs w:val="20"/>
                    <w:lang w:eastAsia="es-ES"/>
                  </w:rPr>
                  <w:t>Nº</w:t>
                </w:r>
              </w:p>
            </w:tc>
            <w:tc>
              <w:tcPr>
                <w:tcW w:w="1392" w:type="dxa"/>
                <w:noWrap/>
                <w:hideMark/>
              </w:tcPr>
              <w:p w:rsidR="00382B5B" w:rsidRPr="00382B5B" w:rsidRDefault="00382B5B" w:rsidP="00382B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lang w:eastAsia="es-ES"/>
                  </w:rPr>
                </w:pPr>
                <w:r w:rsidRPr="00382B5B">
                  <w:rPr>
                    <w:rFonts w:ascii="Calibri" w:eastAsia="Times New Roman" w:hAnsi="Calibri" w:cs="Times New Roman"/>
                    <w:b/>
                    <w:bCs/>
                    <w:sz w:val="20"/>
                    <w:szCs w:val="20"/>
                    <w:lang w:eastAsia="es-ES"/>
                  </w:rPr>
                  <w:t>%</w:t>
                </w:r>
              </w:p>
            </w:tc>
          </w:tr>
          <w:tr w:rsidR="00382B5B" w:rsidRPr="00382B5B" w:rsidTr="00382B5B">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876" w:type="dxa"/>
                <w:noWrap/>
                <w:hideMark/>
              </w:tcPr>
              <w:p w:rsidR="00382B5B" w:rsidRPr="00382B5B" w:rsidRDefault="00382B5B" w:rsidP="00382B5B">
                <w:pPr>
                  <w:jc w:val="center"/>
                  <w:rPr>
                    <w:rFonts w:ascii="Calibri" w:eastAsia="Times New Roman" w:hAnsi="Calibri" w:cs="Times New Roman"/>
                    <w:sz w:val="20"/>
                    <w:szCs w:val="20"/>
                    <w:lang w:eastAsia="es-ES"/>
                  </w:rPr>
                </w:pPr>
                <w:r w:rsidRPr="00382B5B">
                  <w:rPr>
                    <w:rFonts w:ascii="Calibri" w:eastAsia="Times New Roman" w:hAnsi="Calibri" w:cs="Times New Roman"/>
                    <w:sz w:val="20"/>
                    <w:szCs w:val="20"/>
                    <w:lang w:eastAsia="es-ES"/>
                  </w:rPr>
                  <w:t>Zona rural (&lt;2000)</w:t>
                </w:r>
              </w:p>
            </w:tc>
            <w:tc>
              <w:tcPr>
                <w:tcW w:w="1647" w:type="dxa"/>
                <w:noWrap/>
                <w:hideMark/>
              </w:tcPr>
              <w:p w:rsidR="00382B5B" w:rsidRPr="00382B5B" w:rsidRDefault="00382B5B" w:rsidP="00382B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382B5B">
                  <w:rPr>
                    <w:rFonts w:ascii="Calibri" w:eastAsia="Times New Roman" w:hAnsi="Calibri" w:cs="Times New Roman"/>
                    <w:sz w:val="20"/>
                    <w:szCs w:val="20"/>
                    <w:lang w:eastAsia="es-ES"/>
                  </w:rPr>
                  <w:t>12705</w:t>
                </w:r>
              </w:p>
            </w:tc>
            <w:tc>
              <w:tcPr>
                <w:tcW w:w="1392" w:type="dxa"/>
                <w:noWrap/>
                <w:hideMark/>
              </w:tcPr>
              <w:p w:rsidR="00382B5B" w:rsidRPr="00382B5B" w:rsidRDefault="00382B5B" w:rsidP="00382B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382B5B">
                  <w:rPr>
                    <w:rFonts w:ascii="Calibri" w:eastAsia="Times New Roman" w:hAnsi="Calibri" w:cs="Times New Roman"/>
                    <w:sz w:val="20"/>
                    <w:szCs w:val="20"/>
                    <w:lang w:eastAsia="es-ES"/>
                  </w:rPr>
                  <w:t>61,49%</w:t>
                </w:r>
              </w:p>
            </w:tc>
            <w:tc>
              <w:tcPr>
                <w:tcW w:w="1299" w:type="dxa"/>
                <w:noWrap/>
                <w:hideMark/>
              </w:tcPr>
              <w:p w:rsidR="00382B5B" w:rsidRPr="00382B5B" w:rsidRDefault="00382B5B" w:rsidP="00382B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382B5B">
                  <w:rPr>
                    <w:rFonts w:ascii="Calibri" w:eastAsia="Times New Roman" w:hAnsi="Calibri" w:cs="Times New Roman"/>
                    <w:sz w:val="20"/>
                    <w:szCs w:val="20"/>
                    <w:lang w:eastAsia="es-ES"/>
                  </w:rPr>
                  <w:t>50</w:t>
                </w:r>
              </w:p>
            </w:tc>
            <w:tc>
              <w:tcPr>
                <w:tcW w:w="1392" w:type="dxa"/>
                <w:noWrap/>
                <w:hideMark/>
              </w:tcPr>
              <w:p w:rsidR="00382B5B" w:rsidRPr="00382B5B" w:rsidRDefault="00382B5B" w:rsidP="00382B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382B5B">
                  <w:rPr>
                    <w:rFonts w:ascii="Calibri" w:eastAsia="Times New Roman" w:hAnsi="Calibri" w:cs="Times New Roman"/>
                    <w:sz w:val="20"/>
                    <w:szCs w:val="20"/>
                    <w:lang w:eastAsia="es-ES"/>
                  </w:rPr>
                  <w:t>94,34%</w:t>
                </w:r>
              </w:p>
            </w:tc>
          </w:tr>
          <w:tr w:rsidR="00382B5B" w:rsidRPr="00382B5B" w:rsidTr="00382B5B">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876" w:type="dxa"/>
                <w:noWrap/>
                <w:hideMark/>
              </w:tcPr>
              <w:p w:rsidR="00382B5B" w:rsidRPr="00382B5B" w:rsidRDefault="00382B5B" w:rsidP="00382B5B">
                <w:pPr>
                  <w:jc w:val="center"/>
                  <w:rPr>
                    <w:rFonts w:ascii="Calibri" w:eastAsia="Times New Roman" w:hAnsi="Calibri" w:cs="Times New Roman"/>
                    <w:sz w:val="20"/>
                    <w:szCs w:val="20"/>
                    <w:lang w:eastAsia="es-ES"/>
                  </w:rPr>
                </w:pPr>
                <w:r w:rsidRPr="00382B5B">
                  <w:rPr>
                    <w:rFonts w:ascii="Calibri" w:eastAsia="Times New Roman" w:hAnsi="Calibri" w:cs="Times New Roman"/>
                    <w:sz w:val="20"/>
                    <w:szCs w:val="20"/>
                    <w:lang w:eastAsia="es-ES"/>
                  </w:rPr>
                  <w:t>Zona intermedia (&lt; 10000)</w:t>
                </w:r>
              </w:p>
            </w:tc>
            <w:tc>
              <w:tcPr>
                <w:tcW w:w="1647" w:type="dxa"/>
                <w:noWrap/>
                <w:hideMark/>
              </w:tcPr>
              <w:p w:rsidR="00382B5B" w:rsidRPr="00382B5B" w:rsidRDefault="00382B5B" w:rsidP="00382B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382B5B">
                  <w:rPr>
                    <w:rFonts w:ascii="Calibri" w:eastAsia="Times New Roman" w:hAnsi="Calibri" w:cs="Times New Roman"/>
                    <w:sz w:val="20"/>
                    <w:szCs w:val="20"/>
                    <w:lang w:eastAsia="es-ES"/>
                  </w:rPr>
                  <w:t>7958</w:t>
                </w:r>
              </w:p>
            </w:tc>
            <w:tc>
              <w:tcPr>
                <w:tcW w:w="1392" w:type="dxa"/>
                <w:noWrap/>
                <w:hideMark/>
              </w:tcPr>
              <w:p w:rsidR="00382B5B" w:rsidRPr="00382B5B" w:rsidRDefault="00382B5B" w:rsidP="00382B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382B5B">
                  <w:rPr>
                    <w:rFonts w:ascii="Calibri" w:eastAsia="Times New Roman" w:hAnsi="Calibri" w:cs="Times New Roman"/>
                    <w:sz w:val="20"/>
                    <w:szCs w:val="20"/>
                    <w:lang w:eastAsia="es-ES"/>
                  </w:rPr>
                  <w:t>38,51%</w:t>
                </w:r>
              </w:p>
            </w:tc>
            <w:tc>
              <w:tcPr>
                <w:tcW w:w="1299" w:type="dxa"/>
                <w:noWrap/>
                <w:hideMark/>
              </w:tcPr>
              <w:p w:rsidR="00382B5B" w:rsidRPr="00382B5B" w:rsidRDefault="00382B5B" w:rsidP="00382B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382B5B">
                  <w:rPr>
                    <w:rFonts w:ascii="Calibri" w:eastAsia="Times New Roman" w:hAnsi="Calibri" w:cs="Times New Roman"/>
                    <w:sz w:val="20"/>
                    <w:szCs w:val="20"/>
                    <w:lang w:eastAsia="es-ES"/>
                  </w:rPr>
                  <w:t>3</w:t>
                </w:r>
              </w:p>
            </w:tc>
            <w:tc>
              <w:tcPr>
                <w:tcW w:w="1392" w:type="dxa"/>
                <w:noWrap/>
                <w:hideMark/>
              </w:tcPr>
              <w:p w:rsidR="00382B5B" w:rsidRPr="00382B5B" w:rsidRDefault="00382B5B" w:rsidP="00382B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382B5B">
                  <w:rPr>
                    <w:rFonts w:ascii="Calibri" w:eastAsia="Times New Roman" w:hAnsi="Calibri" w:cs="Times New Roman"/>
                    <w:sz w:val="20"/>
                    <w:szCs w:val="20"/>
                    <w:lang w:eastAsia="es-ES"/>
                  </w:rPr>
                  <w:t>5,66%</w:t>
                </w:r>
              </w:p>
            </w:tc>
          </w:tr>
          <w:tr w:rsidR="00382B5B" w:rsidRPr="00382B5B" w:rsidTr="00382B5B">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876" w:type="dxa"/>
                <w:noWrap/>
                <w:hideMark/>
              </w:tcPr>
              <w:p w:rsidR="00382B5B" w:rsidRPr="00382B5B" w:rsidRDefault="00382B5B" w:rsidP="00382B5B">
                <w:pPr>
                  <w:jc w:val="center"/>
                  <w:rPr>
                    <w:rFonts w:ascii="Calibri" w:eastAsia="Times New Roman" w:hAnsi="Calibri" w:cs="Times New Roman"/>
                    <w:sz w:val="20"/>
                    <w:szCs w:val="20"/>
                    <w:lang w:eastAsia="es-ES"/>
                  </w:rPr>
                </w:pPr>
                <w:r w:rsidRPr="00382B5B">
                  <w:rPr>
                    <w:rFonts w:ascii="Calibri" w:eastAsia="Times New Roman" w:hAnsi="Calibri" w:cs="Times New Roman"/>
                    <w:sz w:val="20"/>
                    <w:szCs w:val="20"/>
                    <w:lang w:eastAsia="es-ES"/>
                  </w:rPr>
                  <w:t>Zona urbana (&gt; 10000)</w:t>
                </w:r>
              </w:p>
            </w:tc>
            <w:tc>
              <w:tcPr>
                <w:tcW w:w="1647" w:type="dxa"/>
                <w:noWrap/>
                <w:hideMark/>
              </w:tcPr>
              <w:p w:rsidR="00382B5B" w:rsidRPr="00382B5B" w:rsidRDefault="00382B5B" w:rsidP="00382B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382B5B">
                  <w:rPr>
                    <w:rFonts w:ascii="Calibri" w:eastAsia="Times New Roman" w:hAnsi="Calibri" w:cs="Times New Roman"/>
                    <w:sz w:val="20"/>
                    <w:szCs w:val="20"/>
                    <w:lang w:eastAsia="es-ES"/>
                  </w:rPr>
                  <w:t>0</w:t>
                </w:r>
              </w:p>
            </w:tc>
            <w:tc>
              <w:tcPr>
                <w:tcW w:w="1392" w:type="dxa"/>
                <w:noWrap/>
                <w:hideMark/>
              </w:tcPr>
              <w:p w:rsidR="00382B5B" w:rsidRPr="00382B5B" w:rsidRDefault="00382B5B" w:rsidP="00382B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382B5B">
                  <w:rPr>
                    <w:rFonts w:ascii="Calibri" w:eastAsia="Times New Roman" w:hAnsi="Calibri" w:cs="Times New Roman"/>
                    <w:sz w:val="20"/>
                    <w:szCs w:val="20"/>
                    <w:lang w:eastAsia="es-ES"/>
                  </w:rPr>
                  <w:t>0,00%</w:t>
                </w:r>
              </w:p>
            </w:tc>
            <w:tc>
              <w:tcPr>
                <w:tcW w:w="1299" w:type="dxa"/>
                <w:noWrap/>
                <w:hideMark/>
              </w:tcPr>
              <w:p w:rsidR="00382B5B" w:rsidRPr="00382B5B" w:rsidRDefault="00382B5B" w:rsidP="00382B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382B5B">
                  <w:rPr>
                    <w:rFonts w:ascii="Calibri" w:eastAsia="Times New Roman" w:hAnsi="Calibri" w:cs="Times New Roman"/>
                    <w:sz w:val="20"/>
                    <w:szCs w:val="20"/>
                    <w:lang w:eastAsia="es-ES"/>
                  </w:rPr>
                  <w:t>0</w:t>
                </w:r>
              </w:p>
            </w:tc>
            <w:tc>
              <w:tcPr>
                <w:tcW w:w="1392" w:type="dxa"/>
                <w:noWrap/>
                <w:hideMark/>
              </w:tcPr>
              <w:p w:rsidR="00382B5B" w:rsidRPr="00382B5B" w:rsidRDefault="00382B5B" w:rsidP="00382B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382B5B">
                  <w:rPr>
                    <w:rFonts w:ascii="Calibri" w:eastAsia="Times New Roman" w:hAnsi="Calibri" w:cs="Times New Roman"/>
                    <w:sz w:val="20"/>
                    <w:szCs w:val="20"/>
                    <w:lang w:eastAsia="es-ES"/>
                  </w:rPr>
                  <w:t>0,00%</w:t>
                </w:r>
              </w:p>
            </w:tc>
          </w:tr>
          <w:tr w:rsidR="00382B5B" w:rsidRPr="00382B5B" w:rsidTr="00382B5B">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876" w:type="dxa"/>
                <w:noWrap/>
                <w:hideMark/>
              </w:tcPr>
              <w:p w:rsidR="00382B5B" w:rsidRPr="00382B5B" w:rsidRDefault="00382B5B" w:rsidP="00382B5B">
                <w:pPr>
                  <w:jc w:val="center"/>
                  <w:rPr>
                    <w:rFonts w:ascii="Calibri" w:eastAsia="Times New Roman" w:hAnsi="Calibri" w:cs="Times New Roman"/>
                    <w:sz w:val="20"/>
                    <w:szCs w:val="20"/>
                    <w:lang w:eastAsia="es-ES"/>
                  </w:rPr>
                </w:pPr>
                <w:r w:rsidRPr="00382B5B">
                  <w:rPr>
                    <w:rFonts w:ascii="Calibri" w:eastAsia="Times New Roman" w:hAnsi="Calibri" w:cs="Times New Roman"/>
                    <w:sz w:val="20"/>
                    <w:szCs w:val="20"/>
                    <w:lang w:eastAsia="es-ES"/>
                  </w:rPr>
                  <w:t>Total</w:t>
                </w:r>
              </w:p>
            </w:tc>
            <w:tc>
              <w:tcPr>
                <w:tcW w:w="1647" w:type="dxa"/>
                <w:noWrap/>
                <w:hideMark/>
              </w:tcPr>
              <w:p w:rsidR="00382B5B" w:rsidRPr="00382B5B" w:rsidRDefault="00382B5B" w:rsidP="00382B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382B5B">
                  <w:rPr>
                    <w:rFonts w:ascii="Calibri" w:eastAsia="Times New Roman" w:hAnsi="Calibri" w:cs="Times New Roman"/>
                    <w:sz w:val="20"/>
                    <w:szCs w:val="20"/>
                    <w:lang w:eastAsia="es-ES"/>
                  </w:rPr>
                  <w:t>20663</w:t>
                </w:r>
              </w:p>
            </w:tc>
            <w:tc>
              <w:tcPr>
                <w:tcW w:w="1392" w:type="dxa"/>
                <w:noWrap/>
                <w:hideMark/>
              </w:tcPr>
              <w:p w:rsidR="00382B5B" w:rsidRPr="00382B5B" w:rsidRDefault="00382B5B" w:rsidP="00382B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382B5B">
                  <w:rPr>
                    <w:rFonts w:ascii="Calibri" w:eastAsia="Times New Roman" w:hAnsi="Calibri" w:cs="Times New Roman"/>
                    <w:sz w:val="20"/>
                    <w:szCs w:val="20"/>
                    <w:lang w:eastAsia="es-ES"/>
                  </w:rPr>
                  <w:t>100,00%</w:t>
                </w:r>
              </w:p>
            </w:tc>
            <w:tc>
              <w:tcPr>
                <w:tcW w:w="1299" w:type="dxa"/>
                <w:noWrap/>
                <w:hideMark/>
              </w:tcPr>
              <w:p w:rsidR="00382B5B" w:rsidRPr="00382B5B" w:rsidRDefault="00382B5B" w:rsidP="00382B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382B5B">
                  <w:rPr>
                    <w:rFonts w:ascii="Calibri" w:eastAsia="Times New Roman" w:hAnsi="Calibri" w:cs="Times New Roman"/>
                    <w:sz w:val="20"/>
                    <w:szCs w:val="20"/>
                    <w:lang w:eastAsia="es-ES"/>
                  </w:rPr>
                  <w:t>53</w:t>
                </w:r>
              </w:p>
            </w:tc>
            <w:tc>
              <w:tcPr>
                <w:tcW w:w="1392" w:type="dxa"/>
                <w:noWrap/>
                <w:hideMark/>
              </w:tcPr>
              <w:p w:rsidR="00382B5B" w:rsidRPr="00382B5B" w:rsidRDefault="00382B5B" w:rsidP="00382B5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382B5B">
                  <w:rPr>
                    <w:rFonts w:ascii="Calibri" w:eastAsia="Times New Roman" w:hAnsi="Calibri" w:cs="Times New Roman"/>
                    <w:sz w:val="20"/>
                    <w:szCs w:val="20"/>
                    <w:lang w:eastAsia="es-ES"/>
                  </w:rPr>
                  <w:t>100,00%</w:t>
                </w:r>
              </w:p>
            </w:tc>
          </w:tr>
        </w:tbl>
        <w:p w:rsidR="005F081D" w:rsidRDefault="005F081D" w:rsidP="00DA6CCE">
          <w:pPr>
            <w:jc w:val="both"/>
            <w:rPr>
              <w:noProof/>
              <w:lang w:eastAsia="es-ES"/>
            </w:rPr>
          </w:pPr>
        </w:p>
        <w:p w:rsidR="005F081D" w:rsidRPr="000E24E8" w:rsidRDefault="005F081D" w:rsidP="00DA6CCE">
          <w:pPr>
            <w:pStyle w:val="Prrafodelista"/>
            <w:numPr>
              <w:ilvl w:val="0"/>
              <w:numId w:val="1"/>
            </w:numPr>
            <w:jc w:val="both"/>
            <w:rPr>
              <w:b/>
              <w:noProof/>
              <w:sz w:val="24"/>
              <w:szCs w:val="24"/>
              <w:lang w:eastAsia="es-ES"/>
            </w:rPr>
          </w:pPr>
          <w:r w:rsidRPr="000E24E8">
            <w:rPr>
              <w:b/>
              <w:noProof/>
              <w:sz w:val="24"/>
              <w:szCs w:val="24"/>
              <w:lang w:eastAsia="es-ES"/>
            </w:rPr>
            <w:t>Pirámide de población:</w:t>
          </w:r>
        </w:p>
        <w:p w:rsidR="005F081D" w:rsidRDefault="005F081D" w:rsidP="00DA6CCE">
          <w:pPr>
            <w:pStyle w:val="Prrafodelista"/>
            <w:jc w:val="both"/>
            <w:rPr>
              <w:noProof/>
              <w:lang w:eastAsia="es-ES"/>
            </w:rPr>
          </w:pPr>
        </w:p>
        <w:p w:rsidR="005047FE" w:rsidRDefault="00382B5B" w:rsidP="00482A0A">
          <w:pPr>
            <w:pStyle w:val="Prrafodelista"/>
            <w:ind w:left="284"/>
            <w:jc w:val="both"/>
            <w:rPr>
              <w:noProof/>
              <w:lang w:eastAsia="es-ES"/>
            </w:rPr>
          </w:pPr>
          <w:r>
            <w:rPr>
              <w:noProof/>
              <w:lang w:eastAsia="es-ES"/>
            </w:rPr>
            <w:drawing>
              <wp:inline distT="0" distB="0" distL="0" distR="0" wp14:anchorId="3F306338" wp14:editId="3E5B4059">
                <wp:extent cx="5400040" cy="3589640"/>
                <wp:effectExtent l="0" t="0" r="10160" b="1143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222AC" w:rsidRDefault="008222AC" w:rsidP="00DA6CCE">
          <w:pPr>
            <w:jc w:val="both"/>
            <w:rPr>
              <w:noProof/>
              <w:lang w:eastAsia="es-ES"/>
            </w:rPr>
          </w:pPr>
        </w:p>
        <w:p w:rsidR="001B65A0" w:rsidRDefault="001B65A0" w:rsidP="00DA6CCE">
          <w:pPr>
            <w:jc w:val="both"/>
            <w:rPr>
              <w:noProof/>
              <w:lang w:eastAsia="es-ES"/>
            </w:rPr>
          </w:pPr>
        </w:p>
        <w:p w:rsidR="00533C22" w:rsidRDefault="00533C22" w:rsidP="00DA6CCE">
          <w:pPr>
            <w:pStyle w:val="Prrafodelista"/>
            <w:numPr>
              <w:ilvl w:val="0"/>
              <w:numId w:val="1"/>
            </w:numPr>
            <w:jc w:val="both"/>
            <w:rPr>
              <w:b/>
              <w:sz w:val="24"/>
              <w:szCs w:val="24"/>
            </w:rPr>
          </w:pPr>
          <w:r w:rsidRPr="00533C22">
            <w:rPr>
              <w:b/>
              <w:sz w:val="24"/>
              <w:szCs w:val="24"/>
            </w:rPr>
            <w:lastRenderedPageBreak/>
            <w:t>Evolución de la población (1900-2013):</w:t>
          </w:r>
        </w:p>
        <w:p w:rsidR="00533C22" w:rsidRDefault="00533C22" w:rsidP="00DA6CCE">
          <w:pPr>
            <w:pStyle w:val="Prrafodelista"/>
            <w:jc w:val="both"/>
            <w:rPr>
              <w:b/>
              <w:sz w:val="24"/>
              <w:szCs w:val="24"/>
            </w:rPr>
          </w:pPr>
        </w:p>
        <w:p w:rsidR="00533C22" w:rsidRDefault="00382B5B" w:rsidP="00DC45B6">
          <w:pPr>
            <w:pStyle w:val="Prrafodelista"/>
            <w:ind w:left="426"/>
            <w:jc w:val="center"/>
            <w:rPr>
              <w:b/>
              <w:sz w:val="24"/>
              <w:szCs w:val="24"/>
            </w:rPr>
          </w:pPr>
          <w:r>
            <w:rPr>
              <w:noProof/>
              <w:lang w:eastAsia="es-ES"/>
            </w:rPr>
            <w:drawing>
              <wp:inline distT="0" distB="0" distL="0" distR="0" wp14:anchorId="4DC06A7A" wp14:editId="69C1A37C">
                <wp:extent cx="5405120" cy="3139440"/>
                <wp:effectExtent l="0" t="0" r="24130" b="2286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33C22" w:rsidRPr="00533C22" w:rsidRDefault="00533C22" w:rsidP="00DA6CCE">
          <w:pPr>
            <w:pStyle w:val="Prrafodelista"/>
            <w:jc w:val="both"/>
          </w:pPr>
        </w:p>
        <w:p w:rsidR="00533C22" w:rsidRDefault="00533C22" w:rsidP="00DA6CCE">
          <w:pPr>
            <w:pStyle w:val="Prrafodelista"/>
            <w:numPr>
              <w:ilvl w:val="0"/>
              <w:numId w:val="1"/>
            </w:numPr>
            <w:jc w:val="both"/>
            <w:rPr>
              <w:sz w:val="24"/>
              <w:szCs w:val="24"/>
            </w:rPr>
          </w:pPr>
          <w:r w:rsidRPr="00533C22">
            <w:rPr>
              <w:b/>
              <w:sz w:val="24"/>
              <w:szCs w:val="24"/>
            </w:rPr>
            <w:t xml:space="preserve">Porcentaje de hombres y mujeres sobre el total de la población según grupos de edad. </w:t>
          </w:r>
          <w:r w:rsidRPr="00533C22">
            <w:rPr>
              <w:sz w:val="24"/>
              <w:szCs w:val="24"/>
            </w:rPr>
            <w:t>Muestra el porcentaje de mujeres que pertenecen a cada grupo de edad en relación a la CA de Aragón.</w:t>
          </w:r>
        </w:p>
        <w:p w:rsidR="00482A0A" w:rsidRDefault="00482A0A" w:rsidP="00482A0A">
          <w:pPr>
            <w:pStyle w:val="Prrafodelista"/>
            <w:jc w:val="both"/>
            <w:rPr>
              <w:sz w:val="24"/>
              <w:szCs w:val="24"/>
            </w:rPr>
          </w:pPr>
        </w:p>
        <w:p w:rsidR="00533C22" w:rsidRDefault="00382B5B" w:rsidP="0026445A">
          <w:pPr>
            <w:pStyle w:val="Prrafodelista"/>
            <w:ind w:left="567"/>
            <w:rPr>
              <w:sz w:val="24"/>
              <w:szCs w:val="24"/>
            </w:rPr>
          </w:pPr>
          <w:r w:rsidRPr="00382B5B">
            <w:rPr>
              <w:noProof/>
              <w:lang w:eastAsia="es-ES"/>
            </w:rPr>
            <w:drawing>
              <wp:inline distT="0" distB="0" distL="0" distR="0" wp14:anchorId="44A9ABBB" wp14:editId="3C2DFD0D">
                <wp:extent cx="5506720" cy="1137920"/>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1905" cy="1138991"/>
                        </a:xfrm>
                        <a:prstGeom prst="rect">
                          <a:avLst/>
                        </a:prstGeom>
                        <a:noFill/>
                        <a:ln>
                          <a:noFill/>
                        </a:ln>
                      </pic:spPr>
                    </pic:pic>
                  </a:graphicData>
                </a:graphic>
              </wp:inline>
            </w:drawing>
          </w:r>
        </w:p>
        <w:p w:rsidR="00A33934" w:rsidRPr="00A33934" w:rsidRDefault="00A33934" w:rsidP="00A33934">
          <w:pPr>
            <w:pStyle w:val="Prrafodelista"/>
            <w:jc w:val="both"/>
            <w:rPr>
              <w:sz w:val="24"/>
              <w:szCs w:val="24"/>
            </w:rPr>
          </w:pPr>
        </w:p>
        <w:p w:rsidR="00533C22" w:rsidRDefault="00533C22" w:rsidP="00FA17CC">
          <w:pPr>
            <w:pStyle w:val="Prrafodelista"/>
            <w:numPr>
              <w:ilvl w:val="0"/>
              <w:numId w:val="1"/>
            </w:numPr>
            <w:jc w:val="both"/>
            <w:rPr>
              <w:sz w:val="24"/>
              <w:szCs w:val="24"/>
            </w:rPr>
          </w:pPr>
          <w:r w:rsidRPr="00B26632">
            <w:rPr>
              <w:b/>
              <w:sz w:val="24"/>
              <w:szCs w:val="24"/>
            </w:rPr>
            <w:t>Porcentaje de hombres y mujeres sobre el total de los mismos</w:t>
          </w:r>
          <w:r w:rsidRPr="00B26632">
            <w:rPr>
              <w:sz w:val="24"/>
              <w:szCs w:val="24"/>
            </w:rPr>
            <w:t>. Dicho indicador trata de reflejar por un lado sobre el total de hombres y por el otro, de mujeres, el sector de edad en el que se engloba mayor cantidad de los mismos.</w:t>
          </w:r>
        </w:p>
        <w:p w:rsidR="00A33934" w:rsidRPr="00FA17CC" w:rsidRDefault="00A33934" w:rsidP="00A33934">
          <w:pPr>
            <w:pStyle w:val="Prrafodelista"/>
            <w:jc w:val="both"/>
            <w:rPr>
              <w:sz w:val="24"/>
              <w:szCs w:val="24"/>
            </w:rPr>
          </w:pPr>
        </w:p>
        <w:p w:rsidR="00533C22" w:rsidRDefault="00382B5B" w:rsidP="00CE7FA3">
          <w:pPr>
            <w:pStyle w:val="Prrafodelista"/>
            <w:ind w:left="567"/>
            <w:jc w:val="both"/>
            <w:rPr>
              <w:sz w:val="24"/>
              <w:szCs w:val="24"/>
            </w:rPr>
          </w:pPr>
          <w:r w:rsidRPr="00382B5B">
            <w:rPr>
              <w:noProof/>
              <w:lang w:eastAsia="es-ES"/>
            </w:rPr>
            <w:drawing>
              <wp:inline distT="0" distB="0" distL="0" distR="0" wp14:anchorId="4B51A693" wp14:editId="167040DA">
                <wp:extent cx="5608320" cy="120904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3601" cy="1210178"/>
                        </a:xfrm>
                        <a:prstGeom prst="rect">
                          <a:avLst/>
                        </a:prstGeom>
                        <a:noFill/>
                        <a:ln>
                          <a:noFill/>
                        </a:ln>
                      </pic:spPr>
                    </pic:pic>
                  </a:graphicData>
                </a:graphic>
              </wp:inline>
            </w:drawing>
          </w:r>
        </w:p>
        <w:p w:rsidR="00482A0A" w:rsidRDefault="00482A0A" w:rsidP="00DA6CCE">
          <w:pPr>
            <w:jc w:val="both"/>
            <w:rPr>
              <w:sz w:val="24"/>
              <w:szCs w:val="24"/>
            </w:rPr>
          </w:pPr>
        </w:p>
        <w:p w:rsidR="00E558B9" w:rsidRPr="0092710E" w:rsidRDefault="00E558B9" w:rsidP="00DA6CCE">
          <w:pPr>
            <w:jc w:val="both"/>
            <w:rPr>
              <w:sz w:val="24"/>
              <w:szCs w:val="24"/>
            </w:rPr>
          </w:pPr>
        </w:p>
        <w:p w:rsidR="00533C22" w:rsidRPr="00533C22" w:rsidRDefault="00533C22" w:rsidP="00DA6CCE">
          <w:pPr>
            <w:pStyle w:val="Prrafodelista"/>
            <w:numPr>
              <w:ilvl w:val="0"/>
              <w:numId w:val="1"/>
            </w:numPr>
            <w:jc w:val="both"/>
            <w:rPr>
              <w:b/>
              <w:sz w:val="24"/>
              <w:szCs w:val="24"/>
            </w:rPr>
          </w:pPr>
          <w:r w:rsidRPr="00533C22">
            <w:rPr>
              <w:b/>
              <w:sz w:val="24"/>
              <w:szCs w:val="24"/>
            </w:rPr>
            <w:lastRenderedPageBreak/>
            <w:t>Tasas de envejecimiento:</w:t>
          </w:r>
        </w:p>
        <w:p w:rsidR="00533C22" w:rsidRPr="00533C22" w:rsidRDefault="00533C22" w:rsidP="00DA6CCE">
          <w:pPr>
            <w:pStyle w:val="Prrafodelista"/>
            <w:numPr>
              <w:ilvl w:val="0"/>
              <w:numId w:val="6"/>
            </w:numPr>
            <w:jc w:val="both"/>
            <w:rPr>
              <w:sz w:val="24"/>
              <w:szCs w:val="24"/>
            </w:rPr>
          </w:pPr>
          <w:r w:rsidRPr="00533C22">
            <w:rPr>
              <w:sz w:val="24"/>
              <w:szCs w:val="24"/>
            </w:rPr>
            <w:t>Personas de 65 y más entre personas de menos de 20 años.</w:t>
          </w:r>
        </w:p>
        <w:p w:rsidR="00533C22" w:rsidRPr="00FC58FF" w:rsidRDefault="00561851" w:rsidP="00DA6CCE">
          <w:pPr>
            <w:pStyle w:val="Prrafodelista"/>
            <w:ind w:left="426"/>
            <w:jc w:val="both"/>
          </w:pPr>
          <w:r w:rsidRPr="00561851">
            <w:rPr>
              <w:noProof/>
              <w:lang w:eastAsia="es-ES"/>
            </w:rPr>
            <w:drawing>
              <wp:inline distT="0" distB="0" distL="0" distR="0" wp14:anchorId="6B74B0CD" wp14:editId="76AF9EDB">
                <wp:extent cx="5689600" cy="49784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394" cy="501497"/>
                        </a:xfrm>
                        <a:prstGeom prst="rect">
                          <a:avLst/>
                        </a:prstGeom>
                        <a:noFill/>
                        <a:ln>
                          <a:noFill/>
                        </a:ln>
                      </pic:spPr>
                    </pic:pic>
                  </a:graphicData>
                </a:graphic>
              </wp:inline>
            </w:drawing>
          </w:r>
        </w:p>
        <w:p w:rsidR="00533C22" w:rsidRPr="00533C22" w:rsidRDefault="00533C22" w:rsidP="00DA6CCE">
          <w:pPr>
            <w:pStyle w:val="Prrafodelista"/>
            <w:numPr>
              <w:ilvl w:val="0"/>
              <w:numId w:val="6"/>
            </w:numPr>
            <w:spacing w:after="0" w:line="240" w:lineRule="auto"/>
            <w:jc w:val="both"/>
            <w:rPr>
              <w:rFonts w:eastAsia="Times New Roman" w:cs="Times New Roman"/>
              <w:sz w:val="24"/>
              <w:szCs w:val="24"/>
              <w:lang w:eastAsia="es-ES"/>
            </w:rPr>
          </w:pPr>
          <w:r w:rsidRPr="00533C22">
            <w:rPr>
              <w:rFonts w:eastAsia="Times New Roman" w:cs="Times New Roman"/>
              <w:sz w:val="24"/>
              <w:szCs w:val="24"/>
              <w:lang w:eastAsia="es-ES"/>
            </w:rPr>
            <w:t>Personas de 85 y más entre personas de 65 años o más.</w:t>
          </w:r>
        </w:p>
        <w:p w:rsidR="00533C22" w:rsidRDefault="00561851" w:rsidP="00DA6CCE">
          <w:pPr>
            <w:pStyle w:val="Prrafodelista"/>
            <w:ind w:left="426"/>
            <w:jc w:val="both"/>
            <w:rPr>
              <w:b/>
              <w:sz w:val="24"/>
              <w:szCs w:val="24"/>
            </w:rPr>
          </w:pPr>
          <w:r w:rsidRPr="00561851">
            <w:rPr>
              <w:noProof/>
              <w:lang w:eastAsia="es-ES"/>
            </w:rPr>
            <w:drawing>
              <wp:inline distT="0" distB="0" distL="0" distR="0" wp14:anchorId="4A6E3776" wp14:editId="0152861C">
                <wp:extent cx="5689600" cy="436880"/>
                <wp:effectExtent l="0" t="0" r="635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392" cy="440089"/>
                        </a:xfrm>
                        <a:prstGeom prst="rect">
                          <a:avLst/>
                        </a:prstGeom>
                        <a:noFill/>
                        <a:ln>
                          <a:noFill/>
                        </a:ln>
                      </pic:spPr>
                    </pic:pic>
                  </a:graphicData>
                </a:graphic>
              </wp:inline>
            </w:drawing>
          </w:r>
        </w:p>
        <w:p w:rsidR="00533C22" w:rsidRPr="00533C22" w:rsidRDefault="00533C22" w:rsidP="00DA6CCE">
          <w:pPr>
            <w:pStyle w:val="Prrafodelista"/>
            <w:numPr>
              <w:ilvl w:val="0"/>
              <w:numId w:val="6"/>
            </w:numPr>
            <w:jc w:val="both"/>
            <w:rPr>
              <w:b/>
              <w:sz w:val="24"/>
              <w:szCs w:val="24"/>
            </w:rPr>
          </w:pPr>
          <w:r w:rsidRPr="00533C22">
            <w:rPr>
              <w:rFonts w:eastAsia="Times New Roman" w:cs="Times New Roman"/>
              <w:sz w:val="24"/>
              <w:szCs w:val="24"/>
              <w:lang w:eastAsia="es-ES"/>
            </w:rPr>
            <w:t>Personas de 0 a 14 y 65 o más entre las personas de 15 a 64.</w:t>
          </w:r>
        </w:p>
        <w:p w:rsidR="00533C22" w:rsidRDefault="00561851" w:rsidP="00DA6CCE">
          <w:pPr>
            <w:pStyle w:val="Prrafodelista"/>
            <w:ind w:left="426"/>
            <w:jc w:val="both"/>
            <w:rPr>
              <w:b/>
              <w:sz w:val="24"/>
              <w:szCs w:val="24"/>
            </w:rPr>
          </w:pPr>
          <w:r w:rsidRPr="00561851">
            <w:rPr>
              <w:noProof/>
              <w:lang w:eastAsia="es-ES"/>
            </w:rPr>
            <w:drawing>
              <wp:inline distT="0" distB="0" distL="0" distR="0" wp14:anchorId="55EF8449" wp14:editId="60B2D37D">
                <wp:extent cx="5689600" cy="477520"/>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398" cy="481028"/>
                        </a:xfrm>
                        <a:prstGeom prst="rect">
                          <a:avLst/>
                        </a:prstGeom>
                        <a:noFill/>
                        <a:ln>
                          <a:noFill/>
                        </a:ln>
                      </pic:spPr>
                    </pic:pic>
                  </a:graphicData>
                </a:graphic>
              </wp:inline>
            </w:drawing>
          </w:r>
        </w:p>
        <w:p w:rsidR="00533C22" w:rsidRDefault="00533C22" w:rsidP="00DA6CCE">
          <w:pPr>
            <w:pStyle w:val="Prrafodelista"/>
            <w:ind w:left="426"/>
            <w:jc w:val="both"/>
            <w:rPr>
              <w:b/>
              <w:sz w:val="24"/>
              <w:szCs w:val="24"/>
            </w:rPr>
          </w:pPr>
        </w:p>
        <w:p w:rsidR="00533C22" w:rsidRDefault="00533C22" w:rsidP="00DA6CCE">
          <w:pPr>
            <w:pStyle w:val="Prrafodelista"/>
            <w:numPr>
              <w:ilvl w:val="0"/>
              <w:numId w:val="1"/>
            </w:numPr>
            <w:jc w:val="both"/>
            <w:rPr>
              <w:b/>
              <w:sz w:val="24"/>
              <w:szCs w:val="24"/>
            </w:rPr>
          </w:pPr>
          <w:r w:rsidRPr="00533C22">
            <w:rPr>
              <w:b/>
              <w:sz w:val="24"/>
              <w:szCs w:val="24"/>
            </w:rPr>
            <w:t>Distribución de habitantes y municipios en función del tamaño de los mismos</w:t>
          </w:r>
        </w:p>
        <w:p w:rsidR="00533C22" w:rsidRDefault="00533C22" w:rsidP="00DA6CCE">
          <w:pPr>
            <w:pStyle w:val="Prrafodelista"/>
            <w:jc w:val="both"/>
            <w:rPr>
              <w:b/>
              <w:sz w:val="24"/>
              <w:szCs w:val="24"/>
            </w:rPr>
          </w:pPr>
        </w:p>
        <w:p w:rsidR="00533C22" w:rsidRPr="00533C22" w:rsidRDefault="00561851" w:rsidP="00FA17CC">
          <w:pPr>
            <w:pStyle w:val="Prrafodelista"/>
            <w:ind w:hanging="153"/>
            <w:jc w:val="both"/>
            <w:rPr>
              <w:b/>
              <w:sz w:val="24"/>
              <w:szCs w:val="24"/>
            </w:rPr>
          </w:pPr>
          <w:r>
            <w:rPr>
              <w:noProof/>
              <w:lang w:eastAsia="es-ES"/>
            </w:rPr>
            <w:drawing>
              <wp:inline distT="0" distB="0" distL="0" distR="0" wp14:anchorId="47684816" wp14:editId="06A2607E">
                <wp:extent cx="5394960" cy="2590800"/>
                <wp:effectExtent l="38100" t="0" r="15240" b="1905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F7330" w:rsidRDefault="00561851" w:rsidP="00FA17CC">
          <w:pPr>
            <w:pStyle w:val="Prrafodelista"/>
            <w:ind w:left="709" w:right="-1" w:hanging="142"/>
            <w:jc w:val="both"/>
            <w:rPr>
              <w:b/>
              <w:sz w:val="24"/>
              <w:szCs w:val="24"/>
            </w:rPr>
          </w:pPr>
          <w:r>
            <w:rPr>
              <w:noProof/>
              <w:lang w:eastAsia="es-ES"/>
            </w:rPr>
            <w:drawing>
              <wp:inline distT="0" distB="0" distL="0" distR="0" wp14:anchorId="1E5C75DA" wp14:editId="5C21E8E3">
                <wp:extent cx="5394960" cy="2692400"/>
                <wp:effectExtent l="0" t="0" r="15240" b="1270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222AC" w:rsidRDefault="008222AC" w:rsidP="00DA6CCE">
          <w:pPr>
            <w:pStyle w:val="Prrafodelista"/>
            <w:ind w:left="567" w:right="-1" w:firstLine="142"/>
            <w:jc w:val="both"/>
            <w:rPr>
              <w:b/>
              <w:sz w:val="24"/>
              <w:szCs w:val="24"/>
            </w:rPr>
          </w:pPr>
        </w:p>
        <w:p w:rsidR="00BB78C6" w:rsidRDefault="00BB78C6" w:rsidP="00DA6CCE">
          <w:pPr>
            <w:pStyle w:val="Prrafodelista"/>
            <w:ind w:left="567" w:right="-1" w:firstLine="142"/>
            <w:jc w:val="both"/>
            <w:rPr>
              <w:b/>
              <w:sz w:val="24"/>
              <w:szCs w:val="24"/>
            </w:rPr>
          </w:pPr>
        </w:p>
        <w:p w:rsidR="00482A0A" w:rsidRPr="008E7AAF" w:rsidRDefault="00482A0A" w:rsidP="008E7AAF">
          <w:pPr>
            <w:ind w:right="-1"/>
            <w:jc w:val="both"/>
            <w:rPr>
              <w:b/>
              <w:sz w:val="24"/>
              <w:szCs w:val="24"/>
            </w:rPr>
          </w:pPr>
        </w:p>
        <w:p w:rsidR="00906EF5" w:rsidRPr="00DA0DF8" w:rsidRDefault="00906EF5" w:rsidP="00DA6CCE">
          <w:pPr>
            <w:pStyle w:val="Prrafodelista"/>
            <w:numPr>
              <w:ilvl w:val="0"/>
              <w:numId w:val="1"/>
            </w:numPr>
            <w:jc w:val="both"/>
            <w:rPr>
              <w:b/>
              <w:sz w:val="24"/>
              <w:szCs w:val="24"/>
            </w:rPr>
          </w:pPr>
          <w:r w:rsidRPr="00DA0DF8">
            <w:rPr>
              <w:b/>
              <w:sz w:val="24"/>
              <w:szCs w:val="24"/>
            </w:rPr>
            <w:lastRenderedPageBreak/>
            <w:t>Tasas e indicadores:</w:t>
          </w:r>
        </w:p>
        <w:tbl>
          <w:tblPr>
            <w:tblStyle w:val="Sombreadomedio1-nfasis4"/>
            <w:tblW w:w="7720" w:type="dxa"/>
            <w:jc w:val="center"/>
            <w:tblLook w:val="04A0" w:firstRow="1" w:lastRow="0" w:firstColumn="1" w:lastColumn="0" w:noHBand="0" w:noVBand="1"/>
          </w:tblPr>
          <w:tblGrid>
            <w:gridCol w:w="2500"/>
            <w:gridCol w:w="2420"/>
            <w:gridCol w:w="2800"/>
          </w:tblGrid>
          <w:tr w:rsidR="00561851" w:rsidRPr="00561851" w:rsidTr="00561851">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561851" w:rsidRPr="00561851" w:rsidRDefault="00561851" w:rsidP="00561851">
                <w:pPr>
                  <w:jc w:val="center"/>
                  <w:rPr>
                    <w:rFonts w:eastAsia="Times New Roman" w:cs="Times New Roman"/>
                    <w:sz w:val="20"/>
                    <w:szCs w:val="20"/>
                    <w:lang w:eastAsia="es-ES"/>
                  </w:rPr>
                </w:pPr>
                <w:r w:rsidRPr="00561851">
                  <w:rPr>
                    <w:rFonts w:eastAsia="Times New Roman" w:cs="Times New Roman"/>
                    <w:sz w:val="20"/>
                    <w:szCs w:val="20"/>
                    <w:lang w:eastAsia="es-ES"/>
                  </w:rPr>
                  <w:t>Tasa de masculinidad</w:t>
                </w:r>
              </w:p>
            </w:tc>
            <w:tc>
              <w:tcPr>
                <w:tcW w:w="2420" w:type="dxa"/>
                <w:vMerge w:val="restart"/>
                <w:noWrap/>
                <w:hideMark/>
              </w:tcPr>
              <w:p w:rsidR="00561851" w:rsidRPr="00561851" w:rsidRDefault="00561851" w:rsidP="0056185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r w:rsidRPr="00561851">
                  <w:rPr>
                    <w:rFonts w:eastAsia="Times New Roman" w:cs="Times New Roman"/>
                    <w:sz w:val="20"/>
                    <w:szCs w:val="20"/>
                    <w:lang w:eastAsia="es-ES"/>
                  </w:rPr>
                  <w:t>Aragón</w:t>
                </w:r>
              </w:p>
            </w:tc>
            <w:tc>
              <w:tcPr>
                <w:tcW w:w="2800" w:type="dxa"/>
                <w:vMerge w:val="restart"/>
                <w:noWrap/>
                <w:hideMark/>
              </w:tcPr>
              <w:p w:rsidR="00561851" w:rsidRPr="00561851" w:rsidRDefault="00561851" w:rsidP="0056185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r w:rsidRPr="00561851">
                  <w:rPr>
                    <w:rFonts w:eastAsia="Times New Roman" w:cs="Times New Roman"/>
                    <w:sz w:val="20"/>
                    <w:szCs w:val="20"/>
                    <w:lang w:eastAsia="es-ES"/>
                  </w:rPr>
                  <w:t>GAL</w:t>
                </w:r>
              </w:p>
            </w:tc>
          </w:tr>
          <w:tr w:rsidR="00561851" w:rsidRPr="00561851" w:rsidTr="00561851">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561851" w:rsidRPr="00561851" w:rsidRDefault="00561851" w:rsidP="00561851">
                <w:pPr>
                  <w:rPr>
                    <w:rFonts w:eastAsia="Times New Roman" w:cs="Times New Roman"/>
                    <w:sz w:val="20"/>
                    <w:szCs w:val="20"/>
                    <w:lang w:eastAsia="es-ES"/>
                  </w:rPr>
                </w:pPr>
              </w:p>
            </w:tc>
            <w:tc>
              <w:tcPr>
                <w:tcW w:w="2420" w:type="dxa"/>
                <w:vMerge/>
                <w:hideMark/>
              </w:tcPr>
              <w:p w:rsidR="00561851" w:rsidRPr="00561851" w:rsidRDefault="00561851" w:rsidP="00561851">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c>
              <w:tcPr>
                <w:tcW w:w="2800" w:type="dxa"/>
                <w:vMerge/>
                <w:hideMark/>
              </w:tcPr>
              <w:p w:rsidR="00561851" w:rsidRPr="00561851" w:rsidRDefault="00561851" w:rsidP="00561851">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r>
          <w:tr w:rsidR="00561851" w:rsidRPr="00561851" w:rsidTr="00561851">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561851" w:rsidRPr="00561851" w:rsidRDefault="00561851" w:rsidP="00561851">
                <w:pPr>
                  <w:rPr>
                    <w:rFonts w:eastAsia="Times New Roman" w:cs="Times New Roman"/>
                    <w:sz w:val="20"/>
                    <w:szCs w:val="20"/>
                    <w:lang w:eastAsia="es-ES"/>
                  </w:rPr>
                </w:pPr>
              </w:p>
            </w:tc>
            <w:tc>
              <w:tcPr>
                <w:tcW w:w="2420" w:type="dxa"/>
                <w:noWrap/>
                <w:hideMark/>
              </w:tcPr>
              <w:p w:rsidR="00561851" w:rsidRPr="00561851" w:rsidRDefault="00561851" w:rsidP="00561851">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561851">
                  <w:rPr>
                    <w:rFonts w:eastAsia="Times New Roman" w:cs="Times New Roman"/>
                    <w:b/>
                    <w:bCs/>
                    <w:sz w:val="20"/>
                    <w:szCs w:val="20"/>
                    <w:lang w:eastAsia="es-ES"/>
                  </w:rPr>
                  <w:t>98,94%</w:t>
                </w:r>
              </w:p>
            </w:tc>
            <w:tc>
              <w:tcPr>
                <w:tcW w:w="2800" w:type="dxa"/>
                <w:noWrap/>
                <w:hideMark/>
              </w:tcPr>
              <w:p w:rsidR="00561851" w:rsidRPr="00561851" w:rsidRDefault="00561851" w:rsidP="00561851">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561851">
                  <w:rPr>
                    <w:rFonts w:eastAsia="Times New Roman" w:cs="Times New Roman"/>
                    <w:b/>
                    <w:bCs/>
                    <w:sz w:val="20"/>
                    <w:szCs w:val="20"/>
                    <w:lang w:eastAsia="es-ES"/>
                  </w:rPr>
                  <w:t>111,93%</w:t>
                </w:r>
              </w:p>
            </w:tc>
          </w:tr>
          <w:tr w:rsidR="00561851" w:rsidRPr="00561851" w:rsidTr="00561851">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561851" w:rsidRPr="00561851" w:rsidRDefault="00561851" w:rsidP="00561851">
                <w:pPr>
                  <w:jc w:val="center"/>
                  <w:rPr>
                    <w:rFonts w:eastAsia="Times New Roman" w:cs="Times New Roman"/>
                    <w:sz w:val="20"/>
                    <w:szCs w:val="20"/>
                    <w:lang w:eastAsia="es-ES"/>
                  </w:rPr>
                </w:pPr>
                <w:r w:rsidRPr="00561851">
                  <w:rPr>
                    <w:rFonts w:eastAsia="Times New Roman" w:cs="Times New Roman"/>
                    <w:sz w:val="20"/>
                    <w:szCs w:val="20"/>
                    <w:lang w:eastAsia="es-ES"/>
                  </w:rPr>
                  <w:t>(número de varones dividido entre número de mujeres</w:t>
                </w:r>
              </w:p>
            </w:tc>
            <w:tc>
              <w:tcPr>
                <w:tcW w:w="2420" w:type="dxa"/>
                <w:noWrap/>
                <w:hideMark/>
              </w:tcPr>
              <w:p w:rsidR="00561851" w:rsidRPr="00561851" w:rsidRDefault="00561851" w:rsidP="0056185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561851" w:rsidRPr="00561851" w:rsidRDefault="00561851" w:rsidP="0056185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561851" w:rsidRPr="00561851" w:rsidTr="00561851">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561851" w:rsidRPr="00561851" w:rsidRDefault="00561851" w:rsidP="00561851">
                <w:pPr>
                  <w:jc w:val="center"/>
                  <w:rPr>
                    <w:rFonts w:eastAsia="Times New Roman" w:cs="Times New Roman"/>
                    <w:sz w:val="20"/>
                    <w:szCs w:val="20"/>
                    <w:lang w:eastAsia="es-ES"/>
                  </w:rPr>
                </w:pPr>
              </w:p>
            </w:tc>
            <w:tc>
              <w:tcPr>
                <w:tcW w:w="2420" w:type="dxa"/>
                <w:noWrap/>
                <w:hideMark/>
              </w:tcPr>
              <w:p w:rsidR="00561851" w:rsidRPr="00561851" w:rsidRDefault="00561851" w:rsidP="00561851">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c>
              <w:tcPr>
                <w:tcW w:w="2800" w:type="dxa"/>
                <w:noWrap/>
                <w:hideMark/>
              </w:tcPr>
              <w:p w:rsidR="00561851" w:rsidRPr="00561851" w:rsidRDefault="00561851" w:rsidP="00561851">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r>
          <w:tr w:rsidR="00561851" w:rsidRPr="00561851" w:rsidTr="00561851">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561851" w:rsidRPr="00561851" w:rsidRDefault="00561851" w:rsidP="00561851">
                <w:pPr>
                  <w:jc w:val="center"/>
                  <w:rPr>
                    <w:rFonts w:eastAsia="Times New Roman" w:cs="Times New Roman"/>
                    <w:sz w:val="20"/>
                    <w:szCs w:val="20"/>
                    <w:lang w:eastAsia="es-ES"/>
                  </w:rPr>
                </w:pPr>
                <w:r w:rsidRPr="00561851">
                  <w:rPr>
                    <w:rFonts w:eastAsia="Times New Roman" w:cs="Times New Roman"/>
                    <w:sz w:val="20"/>
                    <w:szCs w:val="20"/>
                    <w:lang w:eastAsia="es-ES"/>
                  </w:rPr>
                  <w:t>Índice de maternidad</w:t>
                </w:r>
              </w:p>
            </w:tc>
            <w:tc>
              <w:tcPr>
                <w:tcW w:w="2420" w:type="dxa"/>
                <w:vMerge w:val="restart"/>
                <w:noWrap/>
                <w:hideMark/>
              </w:tcPr>
              <w:p w:rsidR="00561851" w:rsidRPr="00561851" w:rsidRDefault="00561851" w:rsidP="0056185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561851">
                  <w:rPr>
                    <w:rFonts w:eastAsia="Times New Roman" w:cs="Times New Roman"/>
                    <w:b/>
                    <w:bCs/>
                    <w:sz w:val="20"/>
                    <w:szCs w:val="20"/>
                    <w:lang w:eastAsia="es-ES"/>
                  </w:rPr>
                  <w:t>Aragón</w:t>
                </w:r>
              </w:p>
            </w:tc>
            <w:tc>
              <w:tcPr>
                <w:tcW w:w="2800" w:type="dxa"/>
                <w:vMerge w:val="restart"/>
                <w:noWrap/>
                <w:hideMark/>
              </w:tcPr>
              <w:p w:rsidR="00561851" w:rsidRPr="00561851" w:rsidRDefault="00561851" w:rsidP="0056185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561851">
                  <w:rPr>
                    <w:rFonts w:eastAsia="Times New Roman" w:cs="Times New Roman"/>
                    <w:b/>
                    <w:bCs/>
                    <w:sz w:val="20"/>
                    <w:szCs w:val="20"/>
                    <w:lang w:eastAsia="es-ES"/>
                  </w:rPr>
                  <w:t>GAL</w:t>
                </w:r>
              </w:p>
            </w:tc>
          </w:tr>
          <w:tr w:rsidR="00561851" w:rsidRPr="00561851" w:rsidTr="00561851">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561851" w:rsidRPr="00561851" w:rsidRDefault="00561851" w:rsidP="00561851">
                <w:pPr>
                  <w:rPr>
                    <w:rFonts w:eastAsia="Times New Roman" w:cs="Times New Roman"/>
                    <w:sz w:val="20"/>
                    <w:szCs w:val="20"/>
                    <w:lang w:eastAsia="es-ES"/>
                  </w:rPr>
                </w:pPr>
              </w:p>
            </w:tc>
            <w:tc>
              <w:tcPr>
                <w:tcW w:w="2420" w:type="dxa"/>
                <w:vMerge/>
                <w:hideMark/>
              </w:tcPr>
              <w:p w:rsidR="00561851" w:rsidRPr="00561851" w:rsidRDefault="00561851" w:rsidP="00561851">
                <w:pP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p>
            </w:tc>
            <w:tc>
              <w:tcPr>
                <w:tcW w:w="2800" w:type="dxa"/>
                <w:vMerge/>
                <w:hideMark/>
              </w:tcPr>
              <w:p w:rsidR="00561851" w:rsidRPr="00561851" w:rsidRDefault="00561851" w:rsidP="00561851">
                <w:pP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p>
            </w:tc>
          </w:tr>
          <w:tr w:rsidR="00561851" w:rsidRPr="00561851" w:rsidTr="00561851">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561851" w:rsidRPr="00561851" w:rsidRDefault="00561851" w:rsidP="00561851">
                <w:pPr>
                  <w:rPr>
                    <w:rFonts w:eastAsia="Times New Roman" w:cs="Times New Roman"/>
                    <w:sz w:val="20"/>
                    <w:szCs w:val="20"/>
                    <w:lang w:eastAsia="es-ES"/>
                  </w:rPr>
                </w:pPr>
              </w:p>
            </w:tc>
            <w:tc>
              <w:tcPr>
                <w:tcW w:w="2420" w:type="dxa"/>
                <w:noWrap/>
                <w:hideMark/>
              </w:tcPr>
              <w:p w:rsidR="00561851" w:rsidRPr="00561851" w:rsidRDefault="00561851" w:rsidP="0056185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561851">
                  <w:rPr>
                    <w:rFonts w:eastAsia="Times New Roman" w:cs="Times New Roman"/>
                    <w:b/>
                    <w:bCs/>
                    <w:sz w:val="20"/>
                    <w:szCs w:val="20"/>
                    <w:lang w:eastAsia="es-ES"/>
                  </w:rPr>
                  <w:t>20,92%</w:t>
                </w:r>
              </w:p>
            </w:tc>
            <w:tc>
              <w:tcPr>
                <w:tcW w:w="2800" w:type="dxa"/>
                <w:noWrap/>
                <w:hideMark/>
              </w:tcPr>
              <w:p w:rsidR="00561851" w:rsidRPr="00561851" w:rsidRDefault="00561851" w:rsidP="0056185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561851">
                  <w:rPr>
                    <w:rFonts w:eastAsia="Times New Roman" w:cs="Times New Roman"/>
                    <w:b/>
                    <w:bCs/>
                    <w:sz w:val="20"/>
                    <w:szCs w:val="20"/>
                    <w:lang w:eastAsia="es-ES"/>
                  </w:rPr>
                  <w:t>17,81%</w:t>
                </w:r>
              </w:p>
            </w:tc>
          </w:tr>
          <w:tr w:rsidR="00561851" w:rsidRPr="00561851" w:rsidTr="00561851">
            <w:trPr>
              <w:cnfStyle w:val="000000010000" w:firstRow="0" w:lastRow="0" w:firstColumn="0" w:lastColumn="0" w:oddVBand="0" w:evenVBand="0" w:oddHBand="0" w:evenHBand="1" w:firstRowFirstColumn="0" w:firstRowLastColumn="0" w:lastRowFirstColumn="0" w:lastRowLastColumn="0"/>
              <w:trHeight w:val="756"/>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561851" w:rsidRPr="00561851" w:rsidRDefault="00561851" w:rsidP="00561851">
                <w:pPr>
                  <w:jc w:val="center"/>
                  <w:rPr>
                    <w:rFonts w:eastAsia="Times New Roman" w:cs="Times New Roman"/>
                    <w:sz w:val="20"/>
                    <w:szCs w:val="20"/>
                    <w:lang w:eastAsia="es-ES"/>
                  </w:rPr>
                </w:pPr>
                <w:r w:rsidRPr="00561851">
                  <w:rPr>
                    <w:rFonts w:eastAsia="Times New Roman" w:cs="Times New Roman"/>
                    <w:sz w:val="20"/>
                    <w:szCs w:val="20"/>
                    <w:lang w:eastAsia="es-ES"/>
                  </w:rPr>
                  <w:t>(número de niños de 0 a4 años entre mujeres de 15 a 49)</w:t>
                </w:r>
              </w:p>
            </w:tc>
            <w:tc>
              <w:tcPr>
                <w:tcW w:w="2420" w:type="dxa"/>
                <w:noWrap/>
                <w:hideMark/>
              </w:tcPr>
              <w:p w:rsidR="00561851" w:rsidRPr="00561851" w:rsidRDefault="00561851" w:rsidP="00561851">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c>
              <w:tcPr>
                <w:tcW w:w="2800" w:type="dxa"/>
                <w:noWrap/>
                <w:hideMark/>
              </w:tcPr>
              <w:p w:rsidR="00561851" w:rsidRPr="00561851" w:rsidRDefault="00561851" w:rsidP="00561851">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r>
          <w:tr w:rsidR="00561851" w:rsidRPr="00561851" w:rsidTr="00561851">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561851" w:rsidRPr="00561851" w:rsidRDefault="00561851" w:rsidP="00561851">
                <w:pPr>
                  <w:jc w:val="center"/>
                  <w:rPr>
                    <w:rFonts w:eastAsia="Times New Roman" w:cs="Times New Roman"/>
                    <w:sz w:val="20"/>
                    <w:szCs w:val="20"/>
                    <w:lang w:eastAsia="es-ES"/>
                  </w:rPr>
                </w:pPr>
              </w:p>
            </w:tc>
            <w:tc>
              <w:tcPr>
                <w:tcW w:w="2420" w:type="dxa"/>
                <w:noWrap/>
                <w:hideMark/>
              </w:tcPr>
              <w:p w:rsidR="00561851" w:rsidRPr="00561851" w:rsidRDefault="00561851" w:rsidP="0056185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561851" w:rsidRPr="00561851" w:rsidRDefault="00561851" w:rsidP="0056185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561851" w:rsidRPr="00561851" w:rsidTr="00561851">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561851" w:rsidRPr="00561851" w:rsidRDefault="00561851" w:rsidP="00561851">
                <w:pPr>
                  <w:jc w:val="center"/>
                  <w:rPr>
                    <w:rFonts w:eastAsia="Times New Roman" w:cs="Times New Roman"/>
                    <w:sz w:val="20"/>
                    <w:szCs w:val="20"/>
                    <w:lang w:eastAsia="es-ES"/>
                  </w:rPr>
                </w:pPr>
                <w:r w:rsidRPr="00561851">
                  <w:rPr>
                    <w:rFonts w:eastAsia="Times New Roman" w:cs="Times New Roman"/>
                    <w:sz w:val="20"/>
                    <w:szCs w:val="20"/>
                    <w:lang w:eastAsia="es-ES"/>
                  </w:rPr>
                  <w:t>Índice de potencialidad</w:t>
                </w:r>
              </w:p>
            </w:tc>
            <w:tc>
              <w:tcPr>
                <w:tcW w:w="2420" w:type="dxa"/>
                <w:vMerge w:val="restart"/>
                <w:noWrap/>
                <w:hideMark/>
              </w:tcPr>
              <w:p w:rsidR="00561851" w:rsidRPr="00561851" w:rsidRDefault="00561851" w:rsidP="00561851">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561851">
                  <w:rPr>
                    <w:rFonts w:eastAsia="Times New Roman" w:cs="Times New Roman"/>
                    <w:b/>
                    <w:bCs/>
                    <w:sz w:val="20"/>
                    <w:szCs w:val="20"/>
                    <w:lang w:eastAsia="es-ES"/>
                  </w:rPr>
                  <w:t>Aragón</w:t>
                </w:r>
              </w:p>
            </w:tc>
            <w:tc>
              <w:tcPr>
                <w:tcW w:w="2800" w:type="dxa"/>
                <w:vMerge w:val="restart"/>
                <w:noWrap/>
                <w:hideMark/>
              </w:tcPr>
              <w:p w:rsidR="00561851" w:rsidRPr="00561851" w:rsidRDefault="00561851" w:rsidP="00561851">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561851">
                  <w:rPr>
                    <w:rFonts w:eastAsia="Times New Roman" w:cs="Times New Roman"/>
                    <w:b/>
                    <w:bCs/>
                    <w:sz w:val="20"/>
                    <w:szCs w:val="20"/>
                    <w:lang w:eastAsia="es-ES"/>
                  </w:rPr>
                  <w:t>GAL</w:t>
                </w:r>
              </w:p>
            </w:tc>
          </w:tr>
          <w:tr w:rsidR="00561851" w:rsidRPr="00561851" w:rsidTr="00561851">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561851" w:rsidRPr="00561851" w:rsidRDefault="00561851" w:rsidP="00561851">
                <w:pPr>
                  <w:rPr>
                    <w:rFonts w:eastAsia="Times New Roman" w:cs="Times New Roman"/>
                    <w:sz w:val="20"/>
                    <w:szCs w:val="20"/>
                    <w:lang w:eastAsia="es-ES"/>
                  </w:rPr>
                </w:pPr>
              </w:p>
            </w:tc>
            <w:tc>
              <w:tcPr>
                <w:tcW w:w="2420" w:type="dxa"/>
                <w:vMerge/>
                <w:hideMark/>
              </w:tcPr>
              <w:p w:rsidR="00561851" w:rsidRPr="00561851" w:rsidRDefault="00561851" w:rsidP="00561851">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c>
              <w:tcPr>
                <w:tcW w:w="2800" w:type="dxa"/>
                <w:vMerge/>
                <w:hideMark/>
              </w:tcPr>
              <w:p w:rsidR="00561851" w:rsidRPr="00561851" w:rsidRDefault="00561851" w:rsidP="00561851">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r>
          <w:tr w:rsidR="00561851" w:rsidRPr="00561851" w:rsidTr="00561851">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561851" w:rsidRPr="00561851" w:rsidRDefault="00561851" w:rsidP="00561851">
                <w:pPr>
                  <w:rPr>
                    <w:rFonts w:eastAsia="Times New Roman" w:cs="Times New Roman"/>
                    <w:sz w:val="20"/>
                    <w:szCs w:val="20"/>
                    <w:lang w:eastAsia="es-ES"/>
                  </w:rPr>
                </w:pPr>
              </w:p>
            </w:tc>
            <w:tc>
              <w:tcPr>
                <w:tcW w:w="2420" w:type="dxa"/>
                <w:noWrap/>
                <w:hideMark/>
              </w:tcPr>
              <w:p w:rsidR="00561851" w:rsidRPr="00561851" w:rsidRDefault="00561851" w:rsidP="00561851">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561851">
                  <w:rPr>
                    <w:rFonts w:eastAsia="Times New Roman" w:cs="Times New Roman"/>
                    <w:b/>
                    <w:bCs/>
                    <w:sz w:val="20"/>
                    <w:szCs w:val="20"/>
                    <w:lang w:eastAsia="es-ES"/>
                  </w:rPr>
                  <w:t>77,01%</w:t>
                </w:r>
              </w:p>
            </w:tc>
            <w:tc>
              <w:tcPr>
                <w:tcW w:w="2800" w:type="dxa"/>
                <w:noWrap/>
                <w:hideMark/>
              </w:tcPr>
              <w:p w:rsidR="00561851" w:rsidRPr="00561851" w:rsidRDefault="00561851" w:rsidP="00561851">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561851">
                  <w:rPr>
                    <w:rFonts w:eastAsia="Times New Roman" w:cs="Times New Roman"/>
                    <w:b/>
                    <w:bCs/>
                    <w:sz w:val="20"/>
                    <w:szCs w:val="20"/>
                    <w:lang w:eastAsia="es-ES"/>
                  </w:rPr>
                  <w:t>71,02%</w:t>
                </w:r>
              </w:p>
            </w:tc>
          </w:tr>
          <w:tr w:rsidR="00561851" w:rsidRPr="00561851" w:rsidTr="00561851">
            <w:trPr>
              <w:cnfStyle w:val="000000100000" w:firstRow="0" w:lastRow="0" w:firstColumn="0" w:lastColumn="0" w:oddVBand="0" w:evenVBand="0" w:oddHBand="1" w:evenHBand="0" w:firstRowFirstColumn="0" w:firstRowLastColumn="0" w:lastRowFirstColumn="0" w:lastRowLastColumn="0"/>
              <w:trHeight w:val="756"/>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561851" w:rsidRPr="00561851" w:rsidRDefault="00561851" w:rsidP="00561851">
                <w:pPr>
                  <w:jc w:val="center"/>
                  <w:rPr>
                    <w:rFonts w:eastAsia="Times New Roman" w:cs="Times New Roman"/>
                    <w:sz w:val="20"/>
                    <w:szCs w:val="20"/>
                    <w:lang w:eastAsia="es-ES"/>
                  </w:rPr>
                </w:pPr>
                <w:r w:rsidRPr="00561851">
                  <w:rPr>
                    <w:rFonts w:eastAsia="Times New Roman" w:cs="Times New Roman"/>
                    <w:sz w:val="20"/>
                    <w:szCs w:val="20"/>
                    <w:lang w:eastAsia="es-ES"/>
                  </w:rPr>
                  <w:t>(número mujeres de 20 a 34 entre mujeres de 35 a 49)</w:t>
                </w:r>
              </w:p>
            </w:tc>
            <w:tc>
              <w:tcPr>
                <w:tcW w:w="2420" w:type="dxa"/>
                <w:noWrap/>
                <w:hideMark/>
              </w:tcPr>
              <w:p w:rsidR="00561851" w:rsidRPr="00561851" w:rsidRDefault="00561851" w:rsidP="0056185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561851" w:rsidRPr="00561851" w:rsidRDefault="00561851" w:rsidP="0056185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561851" w:rsidRPr="00561851" w:rsidTr="00561851">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561851" w:rsidRPr="00561851" w:rsidRDefault="00561851" w:rsidP="00561851">
                <w:pPr>
                  <w:jc w:val="center"/>
                  <w:rPr>
                    <w:rFonts w:eastAsia="Times New Roman" w:cs="Times New Roman"/>
                    <w:sz w:val="20"/>
                    <w:szCs w:val="20"/>
                    <w:lang w:eastAsia="es-ES"/>
                  </w:rPr>
                </w:pPr>
              </w:p>
            </w:tc>
            <w:tc>
              <w:tcPr>
                <w:tcW w:w="2420" w:type="dxa"/>
                <w:noWrap/>
                <w:hideMark/>
              </w:tcPr>
              <w:p w:rsidR="00561851" w:rsidRPr="00561851" w:rsidRDefault="00561851" w:rsidP="00561851">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c>
              <w:tcPr>
                <w:tcW w:w="2800" w:type="dxa"/>
                <w:noWrap/>
                <w:hideMark/>
              </w:tcPr>
              <w:p w:rsidR="00561851" w:rsidRPr="00561851" w:rsidRDefault="00561851" w:rsidP="00561851">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r>
          <w:tr w:rsidR="00561851" w:rsidRPr="00561851" w:rsidTr="00561851">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561851" w:rsidRPr="00561851" w:rsidRDefault="00561851" w:rsidP="00561851">
                <w:pPr>
                  <w:jc w:val="center"/>
                  <w:rPr>
                    <w:rFonts w:eastAsia="Times New Roman" w:cs="Times New Roman"/>
                    <w:sz w:val="20"/>
                    <w:szCs w:val="20"/>
                    <w:lang w:eastAsia="es-ES"/>
                  </w:rPr>
                </w:pPr>
              </w:p>
            </w:tc>
            <w:tc>
              <w:tcPr>
                <w:tcW w:w="2420" w:type="dxa"/>
                <w:noWrap/>
                <w:hideMark/>
              </w:tcPr>
              <w:p w:rsidR="00561851" w:rsidRPr="00561851" w:rsidRDefault="00561851" w:rsidP="0056185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561851" w:rsidRPr="00561851" w:rsidRDefault="00561851" w:rsidP="0056185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561851" w:rsidRPr="00561851" w:rsidTr="00561851">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561851" w:rsidRPr="00561851" w:rsidRDefault="00561851" w:rsidP="00561851">
                <w:pPr>
                  <w:jc w:val="center"/>
                  <w:rPr>
                    <w:rFonts w:eastAsia="Times New Roman" w:cs="Times New Roman"/>
                    <w:sz w:val="20"/>
                    <w:szCs w:val="20"/>
                    <w:lang w:eastAsia="es-ES"/>
                  </w:rPr>
                </w:pPr>
                <w:r w:rsidRPr="00561851">
                  <w:rPr>
                    <w:rFonts w:eastAsia="Times New Roman" w:cs="Times New Roman"/>
                    <w:sz w:val="20"/>
                    <w:szCs w:val="20"/>
                    <w:lang w:eastAsia="es-ES"/>
                  </w:rPr>
                  <w:t xml:space="preserve">Coeficiente de </w:t>
                </w:r>
                <w:proofErr w:type="spellStart"/>
                <w:r w:rsidRPr="00561851">
                  <w:rPr>
                    <w:rFonts w:eastAsia="Times New Roman" w:cs="Times New Roman"/>
                    <w:sz w:val="20"/>
                    <w:szCs w:val="20"/>
                    <w:lang w:eastAsia="es-ES"/>
                  </w:rPr>
                  <w:t>sustitucion</w:t>
                </w:r>
                <w:proofErr w:type="spellEnd"/>
              </w:p>
            </w:tc>
            <w:tc>
              <w:tcPr>
                <w:tcW w:w="2420" w:type="dxa"/>
                <w:vMerge w:val="restart"/>
                <w:noWrap/>
                <w:hideMark/>
              </w:tcPr>
              <w:p w:rsidR="00561851" w:rsidRPr="00561851" w:rsidRDefault="00561851" w:rsidP="00561851">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561851">
                  <w:rPr>
                    <w:rFonts w:eastAsia="Times New Roman" w:cs="Times New Roman"/>
                    <w:b/>
                    <w:bCs/>
                    <w:sz w:val="20"/>
                    <w:szCs w:val="20"/>
                    <w:lang w:eastAsia="es-ES"/>
                  </w:rPr>
                  <w:t>Aragón</w:t>
                </w:r>
              </w:p>
            </w:tc>
            <w:tc>
              <w:tcPr>
                <w:tcW w:w="2800" w:type="dxa"/>
                <w:vMerge w:val="restart"/>
                <w:noWrap/>
                <w:hideMark/>
              </w:tcPr>
              <w:p w:rsidR="00561851" w:rsidRPr="00561851" w:rsidRDefault="00561851" w:rsidP="00561851">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561851">
                  <w:rPr>
                    <w:rFonts w:eastAsia="Times New Roman" w:cs="Times New Roman"/>
                    <w:b/>
                    <w:bCs/>
                    <w:sz w:val="20"/>
                    <w:szCs w:val="20"/>
                    <w:lang w:eastAsia="es-ES"/>
                  </w:rPr>
                  <w:t>GAL</w:t>
                </w:r>
              </w:p>
            </w:tc>
          </w:tr>
          <w:tr w:rsidR="00561851" w:rsidRPr="00561851" w:rsidTr="00561851">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561851" w:rsidRPr="00561851" w:rsidRDefault="00561851" w:rsidP="00561851">
                <w:pPr>
                  <w:rPr>
                    <w:rFonts w:eastAsia="Times New Roman" w:cs="Times New Roman"/>
                    <w:sz w:val="20"/>
                    <w:szCs w:val="20"/>
                    <w:lang w:eastAsia="es-ES"/>
                  </w:rPr>
                </w:pPr>
              </w:p>
            </w:tc>
            <w:tc>
              <w:tcPr>
                <w:tcW w:w="2420" w:type="dxa"/>
                <w:vMerge/>
                <w:hideMark/>
              </w:tcPr>
              <w:p w:rsidR="00561851" w:rsidRPr="00561851" w:rsidRDefault="00561851" w:rsidP="00561851">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c>
              <w:tcPr>
                <w:tcW w:w="2800" w:type="dxa"/>
                <w:vMerge/>
                <w:hideMark/>
              </w:tcPr>
              <w:p w:rsidR="00561851" w:rsidRPr="00561851" w:rsidRDefault="00561851" w:rsidP="00561851">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r>
          <w:tr w:rsidR="00561851" w:rsidRPr="00561851" w:rsidTr="00561851">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561851" w:rsidRPr="00561851" w:rsidRDefault="00561851" w:rsidP="00561851">
                <w:pPr>
                  <w:rPr>
                    <w:rFonts w:eastAsia="Times New Roman" w:cs="Times New Roman"/>
                    <w:sz w:val="20"/>
                    <w:szCs w:val="20"/>
                    <w:lang w:eastAsia="es-ES"/>
                  </w:rPr>
                </w:pPr>
              </w:p>
            </w:tc>
            <w:tc>
              <w:tcPr>
                <w:tcW w:w="2420" w:type="dxa"/>
                <w:noWrap/>
                <w:hideMark/>
              </w:tcPr>
              <w:p w:rsidR="00561851" w:rsidRPr="00561851" w:rsidRDefault="00561851" w:rsidP="00561851">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561851">
                  <w:rPr>
                    <w:rFonts w:eastAsia="Times New Roman" w:cs="Times New Roman"/>
                    <w:b/>
                    <w:bCs/>
                    <w:sz w:val="20"/>
                    <w:szCs w:val="20"/>
                    <w:lang w:eastAsia="es-ES"/>
                  </w:rPr>
                  <w:t>80,06%</w:t>
                </w:r>
              </w:p>
            </w:tc>
            <w:tc>
              <w:tcPr>
                <w:tcW w:w="2800" w:type="dxa"/>
                <w:noWrap/>
                <w:hideMark/>
              </w:tcPr>
              <w:p w:rsidR="00561851" w:rsidRPr="00561851" w:rsidRDefault="00561851" w:rsidP="00561851">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561851">
                  <w:rPr>
                    <w:rFonts w:eastAsia="Times New Roman" w:cs="Times New Roman"/>
                    <w:b/>
                    <w:bCs/>
                    <w:sz w:val="20"/>
                    <w:szCs w:val="20"/>
                    <w:lang w:eastAsia="es-ES"/>
                  </w:rPr>
                  <w:t>70,09%</w:t>
                </w:r>
              </w:p>
            </w:tc>
          </w:tr>
          <w:tr w:rsidR="00561851" w:rsidRPr="00561851" w:rsidTr="00561851">
            <w:trPr>
              <w:cnfStyle w:val="000000100000" w:firstRow="0" w:lastRow="0" w:firstColumn="0" w:lastColumn="0" w:oddVBand="0" w:evenVBand="0" w:oddHBand="1" w:evenHBand="0" w:firstRowFirstColumn="0" w:firstRowLastColumn="0" w:lastRowFirstColumn="0" w:lastRowLastColumn="0"/>
              <w:trHeight w:val="756"/>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561851" w:rsidRPr="00561851" w:rsidRDefault="00561851" w:rsidP="00561851">
                <w:pPr>
                  <w:jc w:val="center"/>
                  <w:rPr>
                    <w:rFonts w:eastAsia="Times New Roman" w:cs="Times New Roman"/>
                    <w:sz w:val="20"/>
                    <w:szCs w:val="20"/>
                    <w:lang w:eastAsia="es-ES"/>
                  </w:rPr>
                </w:pPr>
                <w:r w:rsidRPr="00561851">
                  <w:rPr>
                    <w:rFonts w:eastAsia="Times New Roman" w:cs="Times New Roman"/>
                    <w:sz w:val="20"/>
                    <w:szCs w:val="20"/>
                    <w:lang w:eastAsia="es-ES"/>
                  </w:rPr>
                  <w:t>(número de personas de 10 a 14 años entre personas de 60 a 64 años)</w:t>
                </w:r>
              </w:p>
            </w:tc>
            <w:tc>
              <w:tcPr>
                <w:tcW w:w="2420" w:type="dxa"/>
                <w:noWrap/>
                <w:hideMark/>
              </w:tcPr>
              <w:p w:rsidR="00561851" w:rsidRPr="00561851" w:rsidRDefault="00561851" w:rsidP="0056185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561851" w:rsidRPr="00561851" w:rsidRDefault="00561851" w:rsidP="0056185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bl>
        <w:p w:rsidR="00EE4D4D" w:rsidRPr="00974B32" w:rsidRDefault="00EE4D4D" w:rsidP="00DA6CCE">
          <w:pPr>
            <w:jc w:val="both"/>
            <w:rPr>
              <w:b/>
              <w:sz w:val="24"/>
              <w:szCs w:val="24"/>
            </w:rPr>
          </w:pPr>
        </w:p>
        <w:p w:rsidR="000E24E8" w:rsidRPr="000E24E8" w:rsidRDefault="000E24E8" w:rsidP="00DA6CCE">
          <w:pPr>
            <w:pStyle w:val="Prrafodelista"/>
            <w:numPr>
              <w:ilvl w:val="0"/>
              <w:numId w:val="1"/>
            </w:numPr>
            <w:jc w:val="both"/>
            <w:rPr>
              <w:b/>
              <w:sz w:val="24"/>
              <w:szCs w:val="24"/>
            </w:rPr>
          </w:pPr>
          <w:r>
            <w:rPr>
              <w:b/>
              <w:sz w:val="24"/>
              <w:szCs w:val="24"/>
            </w:rPr>
            <w:t>Movimientos de población.</w:t>
          </w:r>
        </w:p>
        <w:p w:rsidR="000E24E8" w:rsidRDefault="000E24E8" w:rsidP="00DA6CCE">
          <w:pPr>
            <w:pStyle w:val="Prrafodelista"/>
            <w:numPr>
              <w:ilvl w:val="0"/>
              <w:numId w:val="11"/>
            </w:numPr>
            <w:jc w:val="both"/>
            <w:rPr>
              <w:b/>
              <w:sz w:val="24"/>
              <w:szCs w:val="24"/>
            </w:rPr>
          </w:pPr>
          <w:r w:rsidRPr="000E24E8">
            <w:rPr>
              <w:b/>
              <w:sz w:val="24"/>
              <w:szCs w:val="24"/>
            </w:rPr>
            <w:t>Evolución de los nacimientos (2007-2012):</w:t>
          </w:r>
        </w:p>
        <w:p w:rsidR="008222AC" w:rsidRDefault="00561851" w:rsidP="00BB78C6">
          <w:pPr>
            <w:ind w:left="142"/>
            <w:jc w:val="both"/>
            <w:rPr>
              <w:b/>
              <w:sz w:val="24"/>
              <w:szCs w:val="24"/>
            </w:rPr>
          </w:pPr>
          <w:r>
            <w:rPr>
              <w:noProof/>
              <w:lang w:eastAsia="es-ES"/>
            </w:rPr>
            <w:drawing>
              <wp:inline distT="0" distB="0" distL="0" distR="0" wp14:anchorId="1BF02B40" wp14:editId="67B80778">
                <wp:extent cx="5400040" cy="2668859"/>
                <wp:effectExtent l="0" t="0" r="10160" b="1778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33934" w:rsidRPr="00974B32" w:rsidRDefault="00A33934" w:rsidP="00BB78C6">
          <w:pPr>
            <w:ind w:left="142"/>
            <w:jc w:val="both"/>
            <w:rPr>
              <w:b/>
              <w:sz w:val="24"/>
              <w:szCs w:val="24"/>
            </w:rPr>
          </w:pPr>
        </w:p>
        <w:p w:rsidR="007344D7" w:rsidRPr="007344D7" w:rsidRDefault="00C6493A" w:rsidP="00DA6CCE">
          <w:pPr>
            <w:pStyle w:val="Prrafodelista"/>
            <w:numPr>
              <w:ilvl w:val="0"/>
              <w:numId w:val="1"/>
            </w:numPr>
            <w:jc w:val="both"/>
            <w:rPr>
              <w:b/>
              <w:sz w:val="24"/>
              <w:szCs w:val="24"/>
            </w:rPr>
          </w:pPr>
          <w:r w:rsidRPr="00C6493A">
            <w:rPr>
              <w:b/>
              <w:sz w:val="24"/>
              <w:szCs w:val="24"/>
            </w:rPr>
            <w:lastRenderedPageBreak/>
            <w:t>Evolución de las defunciones (2006-2012):</w:t>
          </w:r>
        </w:p>
        <w:p w:rsidR="00B12E0D" w:rsidRDefault="00561851" w:rsidP="00FA17CC">
          <w:pPr>
            <w:pStyle w:val="Prrafodelista"/>
            <w:ind w:hanging="578"/>
            <w:jc w:val="both"/>
            <w:rPr>
              <w:b/>
              <w:sz w:val="24"/>
              <w:szCs w:val="24"/>
            </w:rPr>
          </w:pPr>
          <w:r>
            <w:rPr>
              <w:noProof/>
              <w:lang w:eastAsia="es-ES"/>
            </w:rPr>
            <w:drawing>
              <wp:inline distT="0" distB="0" distL="0" distR="0" wp14:anchorId="1A0382E7" wp14:editId="13C19882">
                <wp:extent cx="5400040" cy="2551546"/>
                <wp:effectExtent l="0" t="0" r="10160" b="2032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344D7" w:rsidRPr="007344D7" w:rsidRDefault="007344D7" w:rsidP="00DA6CCE">
          <w:pPr>
            <w:pStyle w:val="Prrafodelista"/>
            <w:jc w:val="both"/>
            <w:rPr>
              <w:b/>
              <w:sz w:val="24"/>
              <w:szCs w:val="24"/>
            </w:rPr>
          </w:pPr>
        </w:p>
        <w:p w:rsidR="00B12E0D" w:rsidRPr="00B01298" w:rsidRDefault="00B50C23" w:rsidP="00DA6CCE">
          <w:pPr>
            <w:pStyle w:val="Prrafodelista"/>
            <w:numPr>
              <w:ilvl w:val="0"/>
              <w:numId w:val="1"/>
            </w:numPr>
            <w:jc w:val="both"/>
            <w:rPr>
              <w:b/>
              <w:sz w:val="24"/>
              <w:szCs w:val="24"/>
            </w:rPr>
          </w:pPr>
          <w:r w:rsidRPr="00B50C23">
            <w:rPr>
              <w:b/>
              <w:sz w:val="24"/>
              <w:szCs w:val="24"/>
            </w:rPr>
            <w:t>Movimientos de población según nacimientos, defunciones, saldo vegetativo, etc.</w:t>
          </w:r>
        </w:p>
        <w:tbl>
          <w:tblPr>
            <w:tblStyle w:val="Sombreadoclaro-nfasis4"/>
            <w:tblW w:w="9400" w:type="dxa"/>
            <w:tblLook w:val="04A0" w:firstRow="1" w:lastRow="0" w:firstColumn="1" w:lastColumn="0" w:noHBand="0" w:noVBand="1"/>
          </w:tblPr>
          <w:tblGrid>
            <w:gridCol w:w="3800"/>
            <w:gridCol w:w="1517"/>
            <w:gridCol w:w="1443"/>
            <w:gridCol w:w="1401"/>
            <w:gridCol w:w="1239"/>
          </w:tblGrid>
          <w:tr w:rsidR="00561851" w:rsidRPr="00561851" w:rsidTr="0056185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561851" w:rsidRPr="00561851" w:rsidRDefault="00561851" w:rsidP="00561851">
                <w:pPr>
                  <w:rPr>
                    <w:rFonts w:eastAsia="Times New Roman" w:cs="Times New Roman"/>
                    <w:color w:val="000000"/>
                    <w:lang w:eastAsia="es-ES"/>
                  </w:rPr>
                </w:pPr>
                <w:r w:rsidRPr="00561851">
                  <w:rPr>
                    <w:rFonts w:eastAsia="Times New Roman" w:cs="Times New Roman"/>
                    <w:color w:val="000000"/>
                    <w:lang w:eastAsia="es-ES"/>
                  </w:rPr>
                  <w:t> </w:t>
                </w:r>
              </w:p>
            </w:tc>
            <w:tc>
              <w:tcPr>
                <w:tcW w:w="2960" w:type="dxa"/>
                <w:gridSpan w:val="2"/>
                <w:noWrap/>
                <w:hideMark/>
              </w:tcPr>
              <w:p w:rsidR="00561851" w:rsidRPr="00561851" w:rsidRDefault="00561851" w:rsidP="0056185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s-ES"/>
                  </w:rPr>
                </w:pPr>
                <w:r w:rsidRPr="00561851">
                  <w:rPr>
                    <w:rFonts w:eastAsia="Times New Roman" w:cs="Times New Roman"/>
                    <w:color w:val="000000"/>
                    <w:lang w:eastAsia="es-ES"/>
                  </w:rPr>
                  <w:t>2012</w:t>
                </w:r>
              </w:p>
            </w:tc>
            <w:tc>
              <w:tcPr>
                <w:tcW w:w="2640" w:type="dxa"/>
                <w:gridSpan w:val="2"/>
                <w:noWrap/>
                <w:hideMark/>
              </w:tcPr>
              <w:p w:rsidR="00561851" w:rsidRPr="00561851" w:rsidRDefault="00561851" w:rsidP="0056185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s-ES"/>
                  </w:rPr>
                </w:pPr>
                <w:r w:rsidRPr="00561851">
                  <w:rPr>
                    <w:rFonts w:eastAsia="Times New Roman" w:cs="Times New Roman"/>
                    <w:color w:val="000000"/>
                    <w:lang w:eastAsia="es-ES"/>
                  </w:rPr>
                  <w:t>2011</w:t>
                </w:r>
              </w:p>
            </w:tc>
          </w:tr>
          <w:tr w:rsidR="00561851" w:rsidRPr="00561851" w:rsidTr="005618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561851" w:rsidRPr="00561851" w:rsidRDefault="00561851" w:rsidP="00561851">
                <w:pPr>
                  <w:rPr>
                    <w:rFonts w:eastAsia="Times New Roman" w:cs="Arial"/>
                    <w:sz w:val="16"/>
                    <w:szCs w:val="16"/>
                    <w:lang w:eastAsia="es-ES"/>
                  </w:rPr>
                </w:pPr>
                <w:r w:rsidRPr="00561851">
                  <w:rPr>
                    <w:rFonts w:eastAsia="Times New Roman" w:cs="Arial"/>
                    <w:sz w:val="16"/>
                    <w:szCs w:val="16"/>
                    <w:lang w:eastAsia="es-ES"/>
                  </w:rPr>
                  <w:t>Nacidos vivos por cada mil habitantes.</w:t>
                </w:r>
              </w:p>
            </w:tc>
            <w:tc>
              <w:tcPr>
                <w:tcW w:w="1517" w:type="dxa"/>
                <w:noWrap/>
                <w:hideMark/>
              </w:tcPr>
              <w:p w:rsidR="00561851" w:rsidRPr="00561851" w:rsidRDefault="00561851" w:rsidP="0056185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ES"/>
                  </w:rPr>
                </w:pPr>
                <w:r w:rsidRPr="00561851">
                  <w:rPr>
                    <w:rFonts w:eastAsia="Times New Roman" w:cs="Times New Roman"/>
                    <w:color w:val="000000"/>
                    <w:lang w:eastAsia="es-ES"/>
                  </w:rPr>
                  <w:t xml:space="preserve">Aragón </w:t>
                </w:r>
              </w:p>
            </w:tc>
            <w:tc>
              <w:tcPr>
                <w:tcW w:w="1443" w:type="dxa"/>
                <w:noWrap/>
                <w:hideMark/>
              </w:tcPr>
              <w:p w:rsidR="00561851" w:rsidRPr="00561851" w:rsidRDefault="00561851" w:rsidP="0056185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ES"/>
                  </w:rPr>
                </w:pPr>
                <w:r w:rsidRPr="00561851">
                  <w:rPr>
                    <w:rFonts w:eastAsia="Times New Roman" w:cs="Times New Roman"/>
                    <w:color w:val="000000"/>
                    <w:lang w:eastAsia="es-ES"/>
                  </w:rPr>
                  <w:t>GAL</w:t>
                </w:r>
              </w:p>
            </w:tc>
            <w:tc>
              <w:tcPr>
                <w:tcW w:w="1401" w:type="dxa"/>
                <w:noWrap/>
                <w:hideMark/>
              </w:tcPr>
              <w:p w:rsidR="00561851" w:rsidRPr="00561851" w:rsidRDefault="00561851" w:rsidP="0056185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ES"/>
                  </w:rPr>
                </w:pPr>
                <w:r w:rsidRPr="00561851">
                  <w:rPr>
                    <w:rFonts w:eastAsia="Times New Roman" w:cs="Times New Roman"/>
                    <w:color w:val="000000"/>
                    <w:lang w:eastAsia="es-ES"/>
                  </w:rPr>
                  <w:t xml:space="preserve">Aragón </w:t>
                </w:r>
              </w:p>
            </w:tc>
            <w:tc>
              <w:tcPr>
                <w:tcW w:w="1239" w:type="dxa"/>
                <w:noWrap/>
                <w:hideMark/>
              </w:tcPr>
              <w:p w:rsidR="00561851" w:rsidRPr="00561851" w:rsidRDefault="00561851" w:rsidP="0056185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ES"/>
                  </w:rPr>
                </w:pPr>
                <w:r w:rsidRPr="00561851">
                  <w:rPr>
                    <w:rFonts w:eastAsia="Times New Roman" w:cs="Times New Roman"/>
                    <w:color w:val="000000"/>
                    <w:lang w:eastAsia="es-ES"/>
                  </w:rPr>
                  <w:t>GAL</w:t>
                </w:r>
              </w:p>
            </w:tc>
          </w:tr>
          <w:tr w:rsidR="00561851" w:rsidRPr="00561851" w:rsidTr="00561851">
            <w:trPr>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561851" w:rsidRPr="00561851" w:rsidRDefault="00561851" w:rsidP="00561851">
                <w:pPr>
                  <w:rPr>
                    <w:rFonts w:eastAsia="Times New Roman" w:cs="Arial"/>
                    <w:sz w:val="16"/>
                    <w:szCs w:val="16"/>
                    <w:lang w:eastAsia="es-ES"/>
                  </w:rPr>
                </w:pPr>
                <w:r w:rsidRPr="00561851">
                  <w:rPr>
                    <w:rFonts w:eastAsia="Times New Roman" w:cs="Arial"/>
                    <w:sz w:val="16"/>
                    <w:szCs w:val="16"/>
                    <w:lang w:eastAsia="es-ES"/>
                  </w:rPr>
                  <w:t>Tasa Bruta de Natalidad (‰).</w:t>
                </w:r>
              </w:p>
            </w:tc>
            <w:tc>
              <w:tcPr>
                <w:tcW w:w="1517" w:type="dxa"/>
                <w:noWrap/>
                <w:hideMark/>
              </w:tcPr>
              <w:p w:rsidR="00561851" w:rsidRPr="00561851" w:rsidRDefault="00561851" w:rsidP="0056185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ES"/>
                  </w:rPr>
                </w:pPr>
                <w:r w:rsidRPr="00561851">
                  <w:rPr>
                    <w:rFonts w:eastAsia="Times New Roman" w:cs="Times New Roman"/>
                    <w:color w:val="000000"/>
                    <w:lang w:eastAsia="es-ES"/>
                  </w:rPr>
                  <w:t>8,878</w:t>
                </w:r>
              </w:p>
            </w:tc>
            <w:tc>
              <w:tcPr>
                <w:tcW w:w="1443" w:type="dxa"/>
                <w:noWrap/>
                <w:hideMark/>
              </w:tcPr>
              <w:p w:rsidR="00561851" w:rsidRPr="00561851" w:rsidRDefault="00561851" w:rsidP="0056185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ES"/>
                  </w:rPr>
                </w:pPr>
                <w:r w:rsidRPr="00561851">
                  <w:rPr>
                    <w:rFonts w:eastAsia="Times New Roman" w:cs="Times New Roman"/>
                    <w:color w:val="000000"/>
                    <w:lang w:eastAsia="es-ES"/>
                  </w:rPr>
                  <w:t>6,716</w:t>
                </w:r>
              </w:p>
            </w:tc>
            <w:tc>
              <w:tcPr>
                <w:tcW w:w="1401" w:type="dxa"/>
                <w:noWrap/>
                <w:hideMark/>
              </w:tcPr>
              <w:p w:rsidR="00561851" w:rsidRPr="00561851" w:rsidRDefault="00561851" w:rsidP="0056185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ES"/>
                  </w:rPr>
                </w:pPr>
                <w:r w:rsidRPr="00561851">
                  <w:rPr>
                    <w:rFonts w:eastAsia="Times New Roman" w:cs="Times New Roman"/>
                    <w:color w:val="000000"/>
                    <w:lang w:eastAsia="es-ES"/>
                  </w:rPr>
                  <w:t>9,366</w:t>
                </w:r>
              </w:p>
            </w:tc>
            <w:tc>
              <w:tcPr>
                <w:tcW w:w="1239" w:type="dxa"/>
                <w:noWrap/>
                <w:hideMark/>
              </w:tcPr>
              <w:p w:rsidR="00561851" w:rsidRPr="00561851" w:rsidRDefault="00561851" w:rsidP="0056185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ES"/>
                  </w:rPr>
                </w:pPr>
                <w:r w:rsidRPr="00561851">
                  <w:rPr>
                    <w:rFonts w:eastAsia="Times New Roman" w:cs="Times New Roman"/>
                    <w:color w:val="000000"/>
                    <w:lang w:eastAsia="es-ES"/>
                  </w:rPr>
                  <w:t>6,939</w:t>
                </w:r>
              </w:p>
            </w:tc>
          </w:tr>
          <w:tr w:rsidR="00561851" w:rsidRPr="00561851" w:rsidTr="005618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561851" w:rsidRPr="00561851" w:rsidRDefault="00561851" w:rsidP="00561851">
                <w:pPr>
                  <w:rPr>
                    <w:rFonts w:eastAsia="Times New Roman" w:cs="Times New Roman"/>
                    <w:color w:val="000000"/>
                    <w:lang w:eastAsia="es-ES"/>
                  </w:rPr>
                </w:pPr>
              </w:p>
            </w:tc>
            <w:tc>
              <w:tcPr>
                <w:tcW w:w="1517" w:type="dxa"/>
                <w:noWrap/>
                <w:hideMark/>
              </w:tcPr>
              <w:p w:rsidR="00561851" w:rsidRPr="00561851" w:rsidRDefault="00561851" w:rsidP="0056185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ES"/>
                  </w:rPr>
                </w:pPr>
              </w:p>
            </w:tc>
            <w:tc>
              <w:tcPr>
                <w:tcW w:w="1443" w:type="dxa"/>
                <w:noWrap/>
                <w:hideMark/>
              </w:tcPr>
              <w:p w:rsidR="00561851" w:rsidRPr="00561851" w:rsidRDefault="00561851" w:rsidP="0056185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ES"/>
                  </w:rPr>
                </w:pPr>
              </w:p>
            </w:tc>
            <w:tc>
              <w:tcPr>
                <w:tcW w:w="1401" w:type="dxa"/>
                <w:noWrap/>
                <w:hideMark/>
              </w:tcPr>
              <w:p w:rsidR="00561851" w:rsidRPr="00561851" w:rsidRDefault="00561851" w:rsidP="0056185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ES"/>
                  </w:rPr>
                </w:pPr>
              </w:p>
            </w:tc>
            <w:tc>
              <w:tcPr>
                <w:tcW w:w="1239" w:type="dxa"/>
                <w:noWrap/>
                <w:hideMark/>
              </w:tcPr>
              <w:p w:rsidR="00561851" w:rsidRPr="00561851" w:rsidRDefault="00561851" w:rsidP="0056185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ES"/>
                  </w:rPr>
                </w:pPr>
              </w:p>
            </w:tc>
          </w:tr>
          <w:tr w:rsidR="00561851" w:rsidRPr="00561851" w:rsidTr="00561851">
            <w:trPr>
              <w:trHeight w:val="300"/>
            </w:trPr>
            <w:tc>
              <w:tcPr>
                <w:cnfStyle w:val="001000000000" w:firstRow="0" w:lastRow="0" w:firstColumn="1" w:lastColumn="0" w:oddVBand="0" w:evenVBand="0" w:oddHBand="0" w:evenHBand="0" w:firstRowFirstColumn="0" w:firstRowLastColumn="0" w:lastRowFirstColumn="0" w:lastRowLastColumn="0"/>
                <w:tcW w:w="3800" w:type="dxa"/>
                <w:noWrap/>
                <w:hideMark/>
              </w:tcPr>
              <w:p w:rsidR="00561851" w:rsidRPr="00561851" w:rsidRDefault="00561851" w:rsidP="00561851">
                <w:pPr>
                  <w:rPr>
                    <w:rFonts w:eastAsia="Times New Roman" w:cs="Arial"/>
                    <w:sz w:val="16"/>
                    <w:szCs w:val="16"/>
                    <w:lang w:eastAsia="es-ES"/>
                  </w:rPr>
                </w:pPr>
                <w:r w:rsidRPr="00561851">
                  <w:rPr>
                    <w:rFonts w:eastAsia="Times New Roman" w:cs="Arial"/>
                    <w:sz w:val="16"/>
                    <w:szCs w:val="16"/>
                    <w:lang w:eastAsia="es-ES"/>
                  </w:rPr>
                  <w:t>Defunciones por cada mil habitantes.</w:t>
                </w:r>
              </w:p>
            </w:tc>
            <w:tc>
              <w:tcPr>
                <w:tcW w:w="1517" w:type="dxa"/>
                <w:noWrap/>
                <w:hideMark/>
              </w:tcPr>
              <w:p w:rsidR="00561851" w:rsidRPr="00561851" w:rsidRDefault="00561851" w:rsidP="0056185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ES"/>
                  </w:rPr>
                </w:pPr>
                <w:r w:rsidRPr="00561851">
                  <w:rPr>
                    <w:rFonts w:eastAsia="Times New Roman" w:cs="Times New Roman"/>
                    <w:color w:val="000000"/>
                    <w:lang w:eastAsia="es-ES"/>
                  </w:rPr>
                  <w:t xml:space="preserve">Aragón </w:t>
                </w:r>
              </w:p>
            </w:tc>
            <w:tc>
              <w:tcPr>
                <w:tcW w:w="1443" w:type="dxa"/>
                <w:noWrap/>
                <w:hideMark/>
              </w:tcPr>
              <w:p w:rsidR="00561851" w:rsidRPr="00561851" w:rsidRDefault="00561851" w:rsidP="0056185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ES"/>
                  </w:rPr>
                </w:pPr>
                <w:r w:rsidRPr="00561851">
                  <w:rPr>
                    <w:rFonts w:eastAsia="Times New Roman" w:cs="Times New Roman"/>
                    <w:color w:val="000000"/>
                    <w:lang w:eastAsia="es-ES"/>
                  </w:rPr>
                  <w:t>GAL</w:t>
                </w:r>
              </w:p>
            </w:tc>
            <w:tc>
              <w:tcPr>
                <w:tcW w:w="1401" w:type="dxa"/>
                <w:noWrap/>
                <w:hideMark/>
              </w:tcPr>
              <w:p w:rsidR="00561851" w:rsidRPr="00561851" w:rsidRDefault="00561851" w:rsidP="0056185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ES"/>
                  </w:rPr>
                </w:pPr>
                <w:r w:rsidRPr="00561851">
                  <w:rPr>
                    <w:rFonts w:eastAsia="Times New Roman" w:cs="Times New Roman"/>
                    <w:color w:val="000000"/>
                    <w:lang w:eastAsia="es-ES"/>
                  </w:rPr>
                  <w:t xml:space="preserve">Aragón </w:t>
                </w:r>
              </w:p>
            </w:tc>
            <w:tc>
              <w:tcPr>
                <w:tcW w:w="1239" w:type="dxa"/>
                <w:noWrap/>
                <w:hideMark/>
              </w:tcPr>
              <w:p w:rsidR="00561851" w:rsidRPr="00561851" w:rsidRDefault="00561851" w:rsidP="0056185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ES"/>
                  </w:rPr>
                </w:pPr>
                <w:r w:rsidRPr="00561851">
                  <w:rPr>
                    <w:rFonts w:eastAsia="Times New Roman" w:cs="Times New Roman"/>
                    <w:color w:val="000000"/>
                    <w:lang w:eastAsia="es-ES"/>
                  </w:rPr>
                  <w:t>GAL</w:t>
                </w:r>
              </w:p>
            </w:tc>
          </w:tr>
          <w:tr w:rsidR="00561851" w:rsidRPr="00561851" w:rsidTr="005618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561851" w:rsidRPr="00561851" w:rsidRDefault="00561851" w:rsidP="00561851">
                <w:pPr>
                  <w:rPr>
                    <w:rFonts w:eastAsia="Times New Roman" w:cs="Arial"/>
                    <w:sz w:val="16"/>
                    <w:szCs w:val="16"/>
                    <w:lang w:eastAsia="es-ES"/>
                  </w:rPr>
                </w:pPr>
                <w:r w:rsidRPr="00561851">
                  <w:rPr>
                    <w:rFonts w:eastAsia="Times New Roman" w:cs="Arial"/>
                    <w:sz w:val="16"/>
                    <w:szCs w:val="16"/>
                    <w:lang w:eastAsia="es-ES"/>
                  </w:rPr>
                  <w:t>Tasa Bruta de Mortalidad (‰).</w:t>
                </w:r>
              </w:p>
            </w:tc>
            <w:tc>
              <w:tcPr>
                <w:tcW w:w="1517" w:type="dxa"/>
                <w:noWrap/>
                <w:hideMark/>
              </w:tcPr>
              <w:p w:rsidR="00561851" w:rsidRPr="00561851" w:rsidRDefault="00561851" w:rsidP="0056185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ES"/>
                  </w:rPr>
                </w:pPr>
                <w:r w:rsidRPr="00561851">
                  <w:rPr>
                    <w:rFonts w:eastAsia="Times New Roman" w:cs="Times New Roman"/>
                    <w:color w:val="000000"/>
                    <w:lang w:eastAsia="es-ES"/>
                  </w:rPr>
                  <w:t>10,170</w:t>
                </w:r>
              </w:p>
            </w:tc>
            <w:tc>
              <w:tcPr>
                <w:tcW w:w="1443" w:type="dxa"/>
                <w:noWrap/>
                <w:hideMark/>
              </w:tcPr>
              <w:p w:rsidR="00561851" w:rsidRPr="00561851" w:rsidRDefault="00561851" w:rsidP="0056185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ES"/>
                  </w:rPr>
                </w:pPr>
                <w:r w:rsidRPr="00561851">
                  <w:rPr>
                    <w:rFonts w:eastAsia="Times New Roman" w:cs="Times New Roman"/>
                    <w:color w:val="000000"/>
                    <w:lang w:eastAsia="es-ES"/>
                  </w:rPr>
                  <w:t>11,908</w:t>
                </w:r>
              </w:p>
            </w:tc>
            <w:tc>
              <w:tcPr>
                <w:tcW w:w="1401" w:type="dxa"/>
                <w:noWrap/>
                <w:hideMark/>
              </w:tcPr>
              <w:p w:rsidR="00561851" w:rsidRPr="00561851" w:rsidRDefault="00561851" w:rsidP="0056185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ES"/>
                  </w:rPr>
                </w:pPr>
                <w:r w:rsidRPr="00561851">
                  <w:rPr>
                    <w:rFonts w:eastAsia="Times New Roman" w:cs="Times New Roman"/>
                    <w:color w:val="000000"/>
                    <w:lang w:eastAsia="es-ES"/>
                  </w:rPr>
                  <w:t>10,067</w:t>
                </w:r>
              </w:p>
            </w:tc>
            <w:tc>
              <w:tcPr>
                <w:tcW w:w="1239" w:type="dxa"/>
                <w:noWrap/>
                <w:hideMark/>
              </w:tcPr>
              <w:p w:rsidR="00561851" w:rsidRPr="00561851" w:rsidRDefault="00561851" w:rsidP="0056185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ES"/>
                  </w:rPr>
                </w:pPr>
                <w:r w:rsidRPr="00561851">
                  <w:rPr>
                    <w:rFonts w:eastAsia="Times New Roman" w:cs="Times New Roman"/>
                    <w:color w:val="000000"/>
                    <w:lang w:eastAsia="es-ES"/>
                  </w:rPr>
                  <w:t>9,771</w:t>
                </w:r>
              </w:p>
            </w:tc>
          </w:tr>
          <w:tr w:rsidR="00561851" w:rsidRPr="00561851" w:rsidTr="00561851">
            <w:trPr>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561851" w:rsidRPr="00561851" w:rsidRDefault="00561851" w:rsidP="00561851">
                <w:pPr>
                  <w:rPr>
                    <w:rFonts w:eastAsia="Times New Roman" w:cs="Times New Roman"/>
                    <w:color w:val="000000"/>
                    <w:lang w:eastAsia="es-ES"/>
                  </w:rPr>
                </w:pPr>
              </w:p>
            </w:tc>
            <w:tc>
              <w:tcPr>
                <w:tcW w:w="1517" w:type="dxa"/>
                <w:noWrap/>
                <w:hideMark/>
              </w:tcPr>
              <w:p w:rsidR="00561851" w:rsidRPr="00561851" w:rsidRDefault="00561851" w:rsidP="0056185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ES"/>
                  </w:rPr>
                </w:pPr>
              </w:p>
            </w:tc>
            <w:tc>
              <w:tcPr>
                <w:tcW w:w="1443" w:type="dxa"/>
                <w:noWrap/>
                <w:hideMark/>
              </w:tcPr>
              <w:p w:rsidR="00561851" w:rsidRPr="00561851" w:rsidRDefault="00561851" w:rsidP="0056185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ES"/>
                  </w:rPr>
                </w:pPr>
              </w:p>
            </w:tc>
            <w:tc>
              <w:tcPr>
                <w:tcW w:w="1401" w:type="dxa"/>
                <w:noWrap/>
                <w:hideMark/>
              </w:tcPr>
              <w:p w:rsidR="00561851" w:rsidRPr="00561851" w:rsidRDefault="00561851" w:rsidP="0056185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ES"/>
                  </w:rPr>
                </w:pPr>
              </w:p>
            </w:tc>
            <w:tc>
              <w:tcPr>
                <w:tcW w:w="1239" w:type="dxa"/>
                <w:noWrap/>
                <w:hideMark/>
              </w:tcPr>
              <w:p w:rsidR="00561851" w:rsidRPr="00561851" w:rsidRDefault="00561851" w:rsidP="0056185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ES"/>
                  </w:rPr>
                </w:pPr>
              </w:p>
            </w:tc>
          </w:tr>
          <w:tr w:rsidR="00561851" w:rsidRPr="00561851" w:rsidTr="0056185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800" w:type="dxa"/>
                <w:hideMark/>
              </w:tcPr>
              <w:p w:rsidR="00561851" w:rsidRPr="00561851" w:rsidRDefault="00561851" w:rsidP="00561851">
                <w:pPr>
                  <w:rPr>
                    <w:rFonts w:eastAsia="Times New Roman" w:cs="Arial"/>
                    <w:sz w:val="16"/>
                    <w:szCs w:val="16"/>
                    <w:lang w:eastAsia="es-ES"/>
                  </w:rPr>
                </w:pPr>
                <w:r w:rsidRPr="00561851">
                  <w:rPr>
                    <w:rFonts w:eastAsia="Times New Roman" w:cs="Arial"/>
                    <w:sz w:val="16"/>
                    <w:szCs w:val="16"/>
                    <w:lang w:eastAsia="es-ES"/>
                  </w:rPr>
                  <w:t>Saldo vegetativo (nacimientos menos defunciones) por cada mil habitantes.</w:t>
                </w:r>
              </w:p>
            </w:tc>
            <w:tc>
              <w:tcPr>
                <w:tcW w:w="1517" w:type="dxa"/>
                <w:noWrap/>
                <w:hideMark/>
              </w:tcPr>
              <w:p w:rsidR="00561851" w:rsidRPr="00561851" w:rsidRDefault="00561851" w:rsidP="0056185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ES"/>
                  </w:rPr>
                </w:pPr>
                <w:r w:rsidRPr="00561851">
                  <w:rPr>
                    <w:rFonts w:eastAsia="Times New Roman" w:cs="Times New Roman"/>
                    <w:color w:val="000000"/>
                    <w:lang w:eastAsia="es-ES"/>
                  </w:rPr>
                  <w:t xml:space="preserve">Aragón </w:t>
                </w:r>
              </w:p>
            </w:tc>
            <w:tc>
              <w:tcPr>
                <w:tcW w:w="1443" w:type="dxa"/>
                <w:noWrap/>
                <w:hideMark/>
              </w:tcPr>
              <w:p w:rsidR="00561851" w:rsidRPr="00561851" w:rsidRDefault="00561851" w:rsidP="0056185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ES"/>
                  </w:rPr>
                </w:pPr>
                <w:r w:rsidRPr="00561851">
                  <w:rPr>
                    <w:rFonts w:eastAsia="Times New Roman" w:cs="Times New Roman"/>
                    <w:color w:val="000000"/>
                    <w:lang w:eastAsia="es-ES"/>
                  </w:rPr>
                  <w:t>GAL</w:t>
                </w:r>
              </w:p>
            </w:tc>
            <w:tc>
              <w:tcPr>
                <w:tcW w:w="1401" w:type="dxa"/>
                <w:noWrap/>
                <w:hideMark/>
              </w:tcPr>
              <w:p w:rsidR="00561851" w:rsidRPr="00561851" w:rsidRDefault="00561851" w:rsidP="0056185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ES"/>
                  </w:rPr>
                </w:pPr>
                <w:r w:rsidRPr="00561851">
                  <w:rPr>
                    <w:rFonts w:eastAsia="Times New Roman" w:cs="Times New Roman"/>
                    <w:color w:val="000000"/>
                    <w:lang w:eastAsia="es-ES"/>
                  </w:rPr>
                  <w:t xml:space="preserve">Aragón </w:t>
                </w:r>
              </w:p>
            </w:tc>
            <w:tc>
              <w:tcPr>
                <w:tcW w:w="1239" w:type="dxa"/>
                <w:noWrap/>
                <w:hideMark/>
              </w:tcPr>
              <w:p w:rsidR="00561851" w:rsidRPr="00561851" w:rsidRDefault="00561851" w:rsidP="0056185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ES"/>
                  </w:rPr>
                </w:pPr>
                <w:r w:rsidRPr="00561851">
                  <w:rPr>
                    <w:rFonts w:eastAsia="Times New Roman" w:cs="Times New Roman"/>
                    <w:color w:val="000000"/>
                    <w:lang w:eastAsia="es-ES"/>
                  </w:rPr>
                  <w:t>GAL</w:t>
                </w:r>
              </w:p>
            </w:tc>
          </w:tr>
          <w:tr w:rsidR="00561851" w:rsidRPr="00561851" w:rsidTr="00561851">
            <w:trPr>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561851" w:rsidRPr="00561851" w:rsidRDefault="00561851" w:rsidP="00561851">
                <w:pPr>
                  <w:rPr>
                    <w:rFonts w:eastAsia="Times New Roman" w:cs="Arial"/>
                    <w:sz w:val="16"/>
                    <w:szCs w:val="16"/>
                    <w:lang w:eastAsia="es-ES"/>
                  </w:rPr>
                </w:pPr>
                <w:r w:rsidRPr="00561851">
                  <w:rPr>
                    <w:rFonts w:eastAsia="Times New Roman" w:cs="Arial"/>
                    <w:sz w:val="16"/>
                    <w:szCs w:val="16"/>
                    <w:lang w:eastAsia="es-ES"/>
                  </w:rPr>
                  <w:t>Tasa Bruta de Crecimiento Vegetativo (‰)</w:t>
                </w:r>
              </w:p>
            </w:tc>
            <w:tc>
              <w:tcPr>
                <w:tcW w:w="1517" w:type="dxa"/>
                <w:noWrap/>
                <w:hideMark/>
              </w:tcPr>
              <w:p w:rsidR="00561851" w:rsidRPr="00561851" w:rsidRDefault="00561851" w:rsidP="0056185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ES"/>
                  </w:rPr>
                </w:pPr>
                <w:r w:rsidRPr="00561851">
                  <w:rPr>
                    <w:rFonts w:eastAsia="Times New Roman" w:cs="Times New Roman"/>
                    <w:color w:val="000000"/>
                    <w:lang w:eastAsia="es-ES"/>
                  </w:rPr>
                  <w:t>-1,292</w:t>
                </w:r>
              </w:p>
            </w:tc>
            <w:tc>
              <w:tcPr>
                <w:tcW w:w="1443" w:type="dxa"/>
                <w:noWrap/>
                <w:hideMark/>
              </w:tcPr>
              <w:p w:rsidR="00561851" w:rsidRPr="00561851" w:rsidRDefault="00561851" w:rsidP="0056185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ES"/>
                  </w:rPr>
                </w:pPr>
                <w:r w:rsidRPr="00561851">
                  <w:rPr>
                    <w:rFonts w:eastAsia="Times New Roman" w:cs="Times New Roman"/>
                    <w:color w:val="000000"/>
                    <w:lang w:eastAsia="es-ES"/>
                  </w:rPr>
                  <w:t>-5,192</w:t>
                </w:r>
              </w:p>
            </w:tc>
            <w:tc>
              <w:tcPr>
                <w:tcW w:w="1401" w:type="dxa"/>
                <w:noWrap/>
                <w:hideMark/>
              </w:tcPr>
              <w:p w:rsidR="00561851" w:rsidRPr="00561851" w:rsidRDefault="00561851" w:rsidP="0056185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ES"/>
                  </w:rPr>
                </w:pPr>
                <w:r w:rsidRPr="00561851">
                  <w:rPr>
                    <w:rFonts w:eastAsia="Times New Roman" w:cs="Times New Roman"/>
                    <w:color w:val="000000"/>
                    <w:lang w:eastAsia="es-ES"/>
                  </w:rPr>
                  <w:t>-0,700</w:t>
                </w:r>
              </w:p>
            </w:tc>
            <w:tc>
              <w:tcPr>
                <w:tcW w:w="1239" w:type="dxa"/>
                <w:noWrap/>
                <w:hideMark/>
              </w:tcPr>
              <w:p w:rsidR="00561851" w:rsidRPr="00561851" w:rsidRDefault="00561851" w:rsidP="0056185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ES"/>
                  </w:rPr>
                </w:pPr>
                <w:r w:rsidRPr="00561851">
                  <w:rPr>
                    <w:rFonts w:eastAsia="Times New Roman" w:cs="Times New Roman"/>
                    <w:color w:val="000000"/>
                    <w:lang w:eastAsia="es-ES"/>
                  </w:rPr>
                  <w:t>-2,832</w:t>
                </w:r>
              </w:p>
            </w:tc>
          </w:tr>
          <w:tr w:rsidR="00561851" w:rsidRPr="00561851" w:rsidTr="005618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561851" w:rsidRPr="00561851" w:rsidRDefault="00561851" w:rsidP="00561851">
                <w:pPr>
                  <w:rPr>
                    <w:rFonts w:eastAsia="Times New Roman" w:cs="Times New Roman"/>
                    <w:color w:val="000000"/>
                    <w:lang w:eastAsia="es-ES"/>
                  </w:rPr>
                </w:pPr>
              </w:p>
            </w:tc>
            <w:tc>
              <w:tcPr>
                <w:tcW w:w="1517" w:type="dxa"/>
                <w:noWrap/>
                <w:hideMark/>
              </w:tcPr>
              <w:p w:rsidR="00561851" w:rsidRPr="00561851" w:rsidRDefault="00561851" w:rsidP="0056185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ES"/>
                  </w:rPr>
                </w:pPr>
              </w:p>
            </w:tc>
            <w:tc>
              <w:tcPr>
                <w:tcW w:w="1443" w:type="dxa"/>
                <w:noWrap/>
                <w:hideMark/>
              </w:tcPr>
              <w:p w:rsidR="00561851" w:rsidRPr="00561851" w:rsidRDefault="00561851" w:rsidP="0056185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ES"/>
                  </w:rPr>
                </w:pPr>
              </w:p>
            </w:tc>
            <w:tc>
              <w:tcPr>
                <w:tcW w:w="1401" w:type="dxa"/>
                <w:noWrap/>
                <w:hideMark/>
              </w:tcPr>
              <w:p w:rsidR="00561851" w:rsidRPr="00561851" w:rsidRDefault="00561851" w:rsidP="0056185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ES"/>
                  </w:rPr>
                </w:pPr>
              </w:p>
            </w:tc>
            <w:tc>
              <w:tcPr>
                <w:tcW w:w="1239" w:type="dxa"/>
                <w:noWrap/>
                <w:hideMark/>
              </w:tcPr>
              <w:p w:rsidR="00561851" w:rsidRPr="00561851" w:rsidRDefault="00561851" w:rsidP="0056185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ES"/>
                  </w:rPr>
                </w:pPr>
              </w:p>
            </w:tc>
          </w:tr>
          <w:tr w:rsidR="00561851" w:rsidRPr="00561851" w:rsidTr="00561851">
            <w:trPr>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561851" w:rsidRPr="00561851" w:rsidRDefault="00561851" w:rsidP="00561851">
                <w:pPr>
                  <w:rPr>
                    <w:rFonts w:eastAsia="Times New Roman" w:cs="Arial"/>
                    <w:sz w:val="16"/>
                    <w:szCs w:val="16"/>
                    <w:lang w:eastAsia="es-ES"/>
                  </w:rPr>
                </w:pPr>
                <w:r w:rsidRPr="00561851">
                  <w:rPr>
                    <w:rFonts w:eastAsia="Times New Roman" w:cs="Arial"/>
                    <w:sz w:val="16"/>
                    <w:szCs w:val="16"/>
                    <w:lang w:eastAsia="es-ES"/>
                  </w:rPr>
                  <w:t>Matrimonios por cada mil habitantes.</w:t>
                </w:r>
              </w:p>
            </w:tc>
            <w:tc>
              <w:tcPr>
                <w:tcW w:w="1517" w:type="dxa"/>
                <w:noWrap/>
                <w:hideMark/>
              </w:tcPr>
              <w:p w:rsidR="00561851" w:rsidRPr="00561851" w:rsidRDefault="00561851" w:rsidP="0056185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ES"/>
                  </w:rPr>
                </w:pPr>
                <w:r w:rsidRPr="00561851">
                  <w:rPr>
                    <w:rFonts w:eastAsia="Times New Roman" w:cs="Times New Roman"/>
                    <w:color w:val="000000"/>
                    <w:lang w:eastAsia="es-ES"/>
                  </w:rPr>
                  <w:t xml:space="preserve">Aragón </w:t>
                </w:r>
              </w:p>
            </w:tc>
            <w:tc>
              <w:tcPr>
                <w:tcW w:w="1443" w:type="dxa"/>
                <w:noWrap/>
                <w:hideMark/>
              </w:tcPr>
              <w:p w:rsidR="00561851" w:rsidRPr="00561851" w:rsidRDefault="00561851" w:rsidP="0056185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ES"/>
                  </w:rPr>
                </w:pPr>
                <w:r w:rsidRPr="00561851">
                  <w:rPr>
                    <w:rFonts w:eastAsia="Times New Roman" w:cs="Times New Roman"/>
                    <w:color w:val="000000"/>
                    <w:lang w:eastAsia="es-ES"/>
                  </w:rPr>
                  <w:t>GAL</w:t>
                </w:r>
              </w:p>
            </w:tc>
            <w:tc>
              <w:tcPr>
                <w:tcW w:w="1401" w:type="dxa"/>
                <w:noWrap/>
                <w:hideMark/>
              </w:tcPr>
              <w:p w:rsidR="00561851" w:rsidRPr="00561851" w:rsidRDefault="00561851" w:rsidP="0056185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ES"/>
                  </w:rPr>
                </w:pPr>
                <w:r w:rsidRPr="00561851">
                  <w:rPr>
                    <w:rFonts w:eastAsia="Times New Roman" w:cs="Times New Roman"/>
                    <w:color w:val="000000"/>
                    <w:lang w:eastAsia="es-ES"/>
                  </w:rPr>
                  <w:t xml:space="preserve">Aragón </w:t>
                </w:r>
              </w:p>
            </w:tc>
            <w:tc>
              <w:tcPr>
                <w:tcW w:w="1239" w:type="dxa"/>
                <w:noWrap/>
                <w:hideMark/>
              </w:tcPr>
              <w:p w:rsidR="00561851" w:rsidRPr="00561851" w:rsidRDefault="00561851" w:rsidP="0056185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ES"/>
                  </w:rPr>
                </w:pPr>
                <w:r w:rsidRPr="00561851">
                  <w:rPr>
                    <w:rFonts w:eastAsia="Times New Roman" w:cs="Times New Roman"/>
                    <w:color w:val="000000"/>
                    <w:lang w:eastAsia="es-ES"/>
                  </w:rPr>
                  <w:t>GAL</w:t>
                </w:r>
              </w:p>
            </w:tc>
          </w:tr>
          <w:tr w:rsidR="00561851" w:rsidRPr="00561851" w:rsidTr="005618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561851" w:rsidRPr="00561851" w:rsidRDefault="00561851" w:rsidP="00561851">
                <w:pPr>
                  <w:rPr>
                    <w:rFonts w:eastAsia="Times New Roman" w:cs="Arial"/>
                    <w:sz w:val="16"/>
                    <w:szCs w:val="16"/>
                    <w:lang w:eastAsia="es-ES"/>
                  </w:rPr>
                </w:pPr>
                <w:r w:rsidRPr="00561851">
                  <w:rPr>
                    <w:rFonts w:eastAsia="Times New Roman" w:cs="Arial"/>
                    <w:sz w:val="16"/>
                    <w:szCs w:val="16"/>
                    <w:lang w:eastAsia="es-ES"/>
                  </w:rPr>
                  <w:t>Tasa Bruta de Nupcialidad (‰).</w:t>
                </w:r>
              </w:p>
            </w:tc>
            <w:tc>
              <w:tcPr>
                <w:tcW w:w="1517" w:type="dxa"/>
                <w:noWrap/>
                <w:hideMark/>
              </w:tcPr>
              <w:p w:rsidR="00561851" w:rsidRPr="00561851" w:rsidRDefault="00561851" w:rsidP="0056185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ES"/>
                  </w:rPr>
                </w:pPr>
                <w:r w:rsidRPr="00561851">
                  <w:rPr>
                    <w:rFonts w:eastAsia="Times New Roman" w:cs="Times New Roman"/>
                    <w:color w:val="000000"/>
                    <w:lang w:eastAsia="es-ES"/>
                  </w:rPr>
                  <w:t>3,492</w:t>
                </w:r>
              </w:p>
            </w:tc>
            <w:tc>
              <w:tcPr>
                <w:tcW w:w="1443" w:type="dxa"/>
                <w:noWrap/>
                <w:hideMark/>
              </w:tcPr>
              <w:p w:rsidR="00561851" w:rsidRPr="00561851" w:rsidRDefault="00561851" w:rsidP="0056185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ES"/>
                  </w:rPr>
                </w:pPr>
                <w:r w:rsidRPr="00561851">
                  <w:rPr>
                    <w:rFonts w:eastAsia="Times New Roman" w:cs="Times New Roman"/>
                    <w:color w:val="000000"/>
                    <w:lang w:eastAsia="es-ES"/>
                  </w:rPr>
                  <w:t>2,382</w:t>
                </w:r>
              </w:p>
            </w:tc>
            <w:tc>
              <w:tcPr>
                <w:tcW w:w="1401" w:type="dxa"/>
                <w:noWrap/>
                <w:hideMark/>
              </w:tcPr>
              <w:p w:rsidR="00561851" w:rsidRPr="00561851" w:rsidRDefault="00561851" w:rsidP="0056185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ES"/>
                  </w:rPr>
                </w:pPr>
                <w:r w:rsidRPr="00561851">
                  <w:rPr>
                    <w:rFonts w:eastAsia="Times New Roman" w:cs="Times New Roman"/>
                    <w:color w:val="000000"/>
                    <w:lang w:eastAsia="es-ES"/>
                  </w:rPr>
                  <w:t>3,205</w:t>
                </w:r>
              </w:p>
            </w:tc>
            <w:tc>
              <w:tcPr>
                <w:tcW w:w="1239" w:type="dxa"/>
                <w:noWrap/>
                <w:hideMark/>
              </w:tcPr>
              <w:p w:rsidR="00561851" w:rsidRPr="00561851" w:rsidRDefault="00561851" w:rsidP="0056185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ES"/>
                  </w:rPr>
                </w:pPr>
                <w:r w:rsidRPr="00561851">
                  <w:rPr>
                    <w:rFonts w:eastAsia="Times New Roman" w:cs="Times New Roman"/>
                    <w:color w:val="000000"/>
                    <w:lang w:eastAsia="es-ES"/>
                  </w:rPr>
                  <w:t>2,360</w:t>
                </w:r>
              </w:p>
            </w:tc>
          </w:tr>
        </w:tbl>
        <w:p w:rsidR="00B50C23" w:rsidRDefault="00B50C23" w:rsidP="00DA6CCE">
          <w:pPr>
            <w:jc w:val="both"/>
            <w:rPr>
              <w:b/>
            </w:rPr>
          </w:pPr>
        </w:p>
        <w:p w:rsidR="00B50C23" w:rsidRDefault="00B50C23" w:rsidP="00DA6CCE">
          <w:pPr>
            <w:pStyle w:val="Prrafodelista"/>
            <w:numPr>
              <w:ilvl w:val="0"/>
              <w:numId w:val="1"/>
            </w:numPr>
            <w:jc w:val="both"/>
            <w:rPr>
              <w:b/>
              <w:sz w:val="24"/>
              <w:szCs w:val="24"/>
            </w:rPr>
          </w:pPr>
          <w:r w:rsidRPr="00B50C23">
            <w:rPr>
              <w:b/>
              <w:sz w:val="24"/>
              <w:szCs w:val="24"/>
            </w:rPr>
            <w:t>Movimientos de población según cambio de residencia:</w:t>
          </w:r>
        </w:p>
        <w:p w:rsidR="00AF7330" w:rsidRPr="00106908" w:rsidRDefault="00561851" w:rsidP="00190C45">
          <w:pPr>
            <w:pStyle w:val="Prrafodelista"/>
            <w:jc w:val="center"/>
            <w:rPr>
              <w:b/>
              <w:sz w:val="24"/>
              <w:szCs w:val="24"/>
            </w:rPr>
          </w:pPr>
          <w:r>
            <w:rPr>
              <w:noProof/>
              <w:lang w:eastAsia="es-ES"/>
            </w:rPr>
            <w:drawing>
              <wp:inline distT="0" distB="0" distL="0" distR="0" wp14:anchorId="05047CBC" wp14:editId="1831F30B">
                <wp:extent cx="5405120" cy="2448560"/>
                <wp:effectExtent l="0" t="0" r="24130" b="2794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F7330" w:rsidRPr="00EE4D4D" w:rsidRDefault="00AF7330" w:rsidP="00DA6CCE">
          <w:pPr>
            <w:pStyle w:val="Prrafodelista"/>
            <w:jc w:val="both"/>
            <w:rPr>
              <w:b/>
              <w:sz w:val="24"/>
              <w:szCs w:val="24"/>
            </w:rPr>
          </w:pPr>
        </w:p>
        <w:p w:rsidR="00E87CD9" w:rsidRDefault="00E87CD9" w:rsidP="00DA6CCE">
          <w:pPr>
            <w:pStyle w:val="Prrafodelista"/>
            <w:numPr>
              <w:ilvl w:val="0"/>
              <w:numId w:val="1"/>
            </w:numPr>
            <w:jc w:val="both"/>
            <w:rPr>
              <w:b/>
              <w:sz w:val="24"/>
              <w:szCs w:val="24"/>
            </w:rPr>
          </w:pPr>
          <w:r w:rsidRPr="00E87CD9">
            <w:rPr>
              <w:b/>
              <w:sz w:val="24"/>
              <w:szCs w:val="24"/>
            </w:rPr>
            <w:t>Porcentaje de llegada de hombres y mujeres extranjeros:</w:t>
          </w:r>
        </w:p>
        <w:p w:rsidR="00E87CD9" w:rsidRPr="00E87CD9" w:rsidRDefault="00E87CD9" w:rsidP="00DA6CCE">
          <w:pPr>
            <w:pStyle w:val="Prrafodelista"/>
            <w:jc w:val="both"/>
            <w:rPr>
              <w:b/>
              <w:sz w:val="24"/>
              <w:szCs w:val="24"/>
            </w:rPr>
          </w:pPr>
        </w:p>
        <w:p w:rsidR="00E87CD9" w:rsidRDefault="00561851" w:rsidP="00106908">
          <w:pPr>
            <w:pStyle w:val="Prrafodelista"/>
            <w:ind w:left="142" w:right="-568"/>
            <w:jc w:val="both"/>
            <w:rPr>
              <w:b/>
              <w:sz w:val="24"/>
              <w:szCs w:val="24"/>
            </w:rPr>
          </w:pPr>
          <w:r>
            <w:rPr>
              <w:b/>
              <w:noProof/>
              <w:sz w:val="24"/>
              <w:szCs w:val="24"/>
              <w:lang w:eastAsia="es-ES"/>
            </w:rPr>
            <w:drawing>
              <wp:inline distT="0" distB="0" distL="0" distR="0" wp14:anchorId="4F45B00E" wp14:editId="3F7FF8BB">
                <wp:extent cx="2641600" cy="1605280"/>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41600" cy="1605280"/>
                        </a:xfrm>
                        <a:prstGeom prst="rect">
                          <a:avLst/>
                        </a:prstGeom>
                        <a:noFill/>
                      </pic:spPr>
                    </pic:pic>
                  </a:graphicData>
                </a:graphic>
              </wp:inline>
            </w:drawing>
          </w:r>
          <w:r>
            <w:rPr>
              <w:b/>
              <w:noProof/>
              <w:sz w:val="24"/>
              <w:szCs w:val="24"/>
              <w:lang w:eastAsia="es-ES"/>
            </w:rPr>
            <w:drawing>
              <wp:inline distT="0" distB="0" distL="0" distR="0" wp14:anchorId="2B75EA23" wp14:editId="65A41023">
                <wp:extent cx="2905760" cy="1604995"/>
                <wp:effectExtent l="0" t="0" r="889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08772" cy="1606659"/>
                        </a:xfrm>
                        <a:prstGeom prst="rect">
                          <a:avLst/>
                        </a:prstGeom>
                        <a:noFill/>
                      </pic:spPr>
                    </pic:pic>
                  </a:graphicData>
                </a:graphic>
              </wp:inline>
            </w:drawing>
          </w:r>
        </w:p>
        <w:p w:rsidR="00974B32" w:rsidRDefault="00974B32"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Pr="00287406" w:rsidRDefault="008222AC" w:rsidP="00287406">
          <w:pPr>
            <w:jc w:val="both"/>
            <w:rPr>
              <w:b/>
              <w:sz w:val="24"/>
              <w:szCs w:val="24"/>
            </w:rPr>
          </w:pPr>
        </w:p>
        <w:p w:rsidR="00BB47F5" w:rsidRDefault="00BB47F5" w:rsidP="00DA6CCE">
          <w:pPr>
            <w:pStyle w:val="Prrafodelista"/>
            <w:jc w:val="both"/>
            <w:rPr>
              <w:b/>
              <w:sz w:val="24"/>
              <w:szCs w:val="24"/>
            </w:rPr>
          </w:pPr>
        </w:p>
        <w:p w:rsidR="00974B32" w:rsidRDefault="00974B32" w:rsidP="00DA6CCE">
          <w:pPr>
            <w:pStyle w:val="Prrafodelista"/>
            <w:jc w:val="both"/>
            <w:rPr>
              <w:b/>
              <w:sz w:val="24"/>
              <w:szCs w:val="24"/>
            </w:rPr>
          </w:pPr>
          <w:r>
            <w:rPr>
              <w:b/>
              <w:noProof/>
              <w:sz w:val="24"/>
              <w:szCs w:val="24"/>
              <w:lang w:eastAsia="es-ES"/>
            </w:rPr>
            <mc:AlternateContent>
              <mc:Choice Requires="wps">
                <w:drawing>
                  <wp:anchor distT="0" distB="0" distL="114300" distR="114300" simplePos="0" relativeHeight="251662336" behindDoc="0" locked="0" layoutInCell="1" allowOverlap="1" wp14:anchorId="620BFD3B" wp14:editId="00FEBD91">
                    <wp:simplePos x="0" y="0"/>
                    <wp:positionH relativeFrom="column">
                      <wp:posOffset>352425</wp:posOffset>
                    </wp:positionH>
                    <wp:positionV relativeFrom="paragraph">
                      <wp:posOffset>2540</wp:posOffset>
                    </wp:positionV>
                    <wp:extent cx="1516380" cy="419100"/>
                    <wp:effectExtent l="76200" t="38100" r="102870" b="114300"/>
                    <wp:wrapNone/>
                    <wp:docPr id="5" name="5 Rectángulo redondeado"/>
                    <wp:cNvGraphicFramePr/>
                    <a:graphic xmlns:a="http://schemas.openxmlformats.org/drawingml/2006/main">
                      <a:graphicData uri="http://schemas.microsoft.com/office/word/2010/wordprocessingShape">
                        <wps:wsp>
                          <wps:cNvSpPr/>
                          <wps:spPr>
                            <a:xfrm>
                              <a:off x="0" y="0"/>
                              <a:ext cx="1516380" cy="419100"/>
                            </a:xfrm>
                            <a:prstGeom prst="roundRect">
                              <a:avLst/>
                            </a:prstGeom>
                            <a:solidFill>
                              <a:schemeClr val="accent4"/>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974B32" w:rsidRPr="00974B32" w:rsidRDefault="00974B32" w:rsidP="00974B32">
                                <w:pPr>
                                  <w:jc w:val="center"/>
                                  <w:rPr>
                                    <w:b/>
                                    <w:sz w:val="28"/>
                                    <w:szCs w:val="28"/>
                                  </w:rPr>
                                </w:pPr>
                                <w:r w:rsidRPr="00974B32">
                                  <w:rPr>
                                    <w:b/>
                                    <w:sz w:val="28"/>
                                    <w:szCs w:val="28"/>
                                  </w:rPr>
                                  <w:t>ECONOMÍA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5 Rectángulo redondeado" o:spid="_x0000_s1027" style="position:absolute;left:0;text-align:left;margin-left:27.75pt;margin-top:.2pt;width:119.4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" fillcolor="#8064a2 [3207]" stroked="f" strokeweight="2pt">
                    <v:shadow on="t" color="black" opacity="20971f" offset="0,2.2pt"/>
                    <v:textbox>
                      <w:txbxContent>
                        <w:p w:rsidR="00974B32" w:rsidRPr="00974B32" w:rsidRDefault="00974B32" w:rsidP="00974B32">
                          <w:pPr>
                            <w:jc w:val="center"/>
                            <w:rPr>
                              <w:b/>
                              <w:sz w:val="28"/>
                              <w:szCs w:val="28"/>
                            </w:rPr>
                          </w:pPr>
                          <w:r w:rsidRPr="00974B32">
                            <w:rPr>
                              <w:b/>
                              <w:sz w:val="28"/>
                              <w:szCs w:val="28"/>
                            </w:rPr>
                            <w:t>ECONOMÍA</w:t>
                          </w:r>
                        </w:p>
                      </w:txbxContent>
                    </v:textbox>
                  </v:roundrect>
                </w:pict>
              </mc:Fallback>
            </mc:AlternateContent>
          </w:r>
        </w:p>
        <w:p w:rsidR="00183475" w:rsidRDefault="005F110C" w:rsidP="00DA6CCE">
          <w:pPr>
            <w:tabs>
              <w:tab w:val="left" w:pos="3456"/>
            </w:tabs>
            <w:ind w:firstLine="708"/>
            <w:jc w:val="both"/>
          </w:pPr>
          <w:r>
            <w:tab/>
          </w:r>
        </w:p>
        <w:p w:rsidR="00C6493A" w:rsidRDefault="005F110C" w:rsidP="00DA6CCE">
          <w:pPr>
            <w:pStyle w:val="Prrafodelista"/>
            <w:numPr>
              <w:ilvl w:val="0"/>
              <w:numId w:val="1"/>
            </w:numPr>
            <w:tabs>
              <w:tab w:val="left" w:pos="3456"/>
            </w:tabs>
            <w:jc w:val="both"/>
            <w:rPr>
              <w:b/>
            </w:rPr>
          </w:pPr>
          <w:r w:rsidRPr="005F110C">
            <w:rPr>
              <w:b/>
            </w:rPr>
            <w:t>Porcentaje de actividades económicas por sector de actividad</w:t>
          </w:r>
          <w:r w:rsidR="003729DC">
            <w:rPr>
              <w:b/>
            </w:rPr>
            <w:t xml:space="preserve"> (2012)</w:t>
          </w:r>
        </w:p>
        <w:p w:rsidR="00424122" w:rsidRDefault="00424122" w:rsidP="00DA6CCE">
          <w:pPr>
            <w:pStyle w:val="Prrafodelista"/>
            <w:tabs>
              <w:tab w:val="left" w:pos="3456"/>
            </w:tabs>
            <w:jc w:val="both"/>
            <w:rPr>
              <w:b/>
            </w:rPr>
          </w:pPr>
        </w:p>
        <w:p w:rsidR="007A3D6C" w:rsidRDefault="00561851" w:rsidP="00DA6CCE">
          <w:pPr>
            <w:pStyle w:val="Prrafodelista"/>
            <w:tabs>
              <w:tab w:val="left" w:pos="3456"/>
            </w:tabs>
            <w:ind w:left="284"/>
            <w:jc w:val="both"/>
            <w:rPr>
              <w:b/>
            </w:rPr>
          </w:pPr>
          <w:r>
            <w:rPr>
              <w:noProof/>
              <w:lang w:eastAsia="es-ES"/>
            </w:rPr>
            <w:drawing>
              <wp:inline distT="0" distB="0" distL="0" distR="0" wp14:anchorId="47BB2430" wp14:editId="71682E56">
                <wp:extent cx="5405120" cy="2956560"/>
                <wp:effectExtent l="0" t="0" r="24130" b="1524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748A7" w:rsidRPr="00EC5221" w:rsidRDefault="002748A7" w:rsidP="00DA6CCE">
          <w:pPr>
            <w:pStyle w:val="Prrafodelista"/>
            <w:tabs>
              <w:tab w:val="left" w:pos="3456"/>
            </w:tabs>
            <w:ind w:left="284"/>
            <w:jc w:val="both"/>
            <w:rPr>
              <w:b/>
            </w:rPr>
          </w:pPr>
        </w:p>
        <w:p w:rsidR="007A3D6C" w:rsidRPr="002748A7" w:rsidRDefault="007A3D6C" w:rsidP="002748A7">
          <w:pPr>
            <w:pStyle w:val="Prrafodelista"/>
            <w:numPr>
              <w:ilvl w:val="0"/>
              <w:numId w:val="1"/>
            </w:numPr>
            <w:tabs>
              <w:tab w:val="left" w:pos="3456"/>
            </w:tabs>
            <w:jc w:val="both"/>
            <w:rPr>
              <w:b/>
            </w:rPr>
          </w:pPr>
          <w:r>
            <w:rPr>
              <w:b/>
            </w:rPr>
            <w:t>Evolución de las actividades económicas durante el periodo 2011-2012:</w:t>
          </w:r>
        </w:p>
        <w:p w:rsidR="008222AC" w:rsidRDefault="008222AC" w:rsidP="00DA6CCE">
          <w:pPr>
            <w:pStyle w:val="Prrafodelista"/>
            <w:tabs>
              <w:tab w:val="left" w:pos="3456"/>
            </w:tabs>
            <w:jc w:val="both"/>
            <w:rPr>
              <w:b/>
            </w:rPr>
          </w:pPr>
        </w:p>
        <w:p w:rsidR="00055955" w:rsidRDefault="00561851" w:rsidP="006E0D50">
          <w:pPr>
            <w:pStyle w:val="Prrafodelista"/>
            <w:tabs>
              <w:tab w:val="left" w:pos="3456"/>
            </w:tabs>
            <w:ind w:left="284"/>
            <w:jc w:val="both"/>
            <w:rPr>
              <w:b/>
            </w:rPr>
          </w:pPr>
          <w:r>
            <w:rPr>
              <w:noProof/>
              <w:lang w:eastAsia="es-ES"/>
            </w:rPr>
            <w:drawing>
              <wp:inline distT="0" distB="0" distL="0" distR="0" wp14:anchorId="44C689EF" wp14:editId="0FA676DC">
                <wp:extent cx="5405120" cy="3464560"/>
                <wp:effectExtent l="0" t="0" r="24130" b="2159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6430F" w:rsidRDefault="00C6430F" w:rsidP="006E0D50">
          <w:pPr>
            <w:pStyle w:val="Prrafodelista"/>
            <w:tabs>
              <w:tab w:val="left" w:pos="3456"/>
            </w:tabs>
            <w:ind w:left="284"/>
            <w:jc w:val="both"/>
            <w:rPr>
              <w:b/>
            </w:rPr>
          </w:pPr>
        </w:p>
        <w:p w:rsidR="006E0D50" w:rsidRPr="006E0D50" w:rsidRDefault="006E0D50" w:rsidP="006E0D50">
          <w:pPr>
            <w:pStyle w:val="Prrafodelista"/>
            <w:tabs>
              <w:tab w:val="left" w:pos="3456"/>
            </w:tabs>
            <w:ind w:left="284"/>
            <w:jc w:val="both"/>
            <w:rPr>
              <w:b/>
            </w:rPr>
          </w:pPr>
        </w:p>
        <w:p w:rsidR="00055955" w:rsidRDefault="00055955" w:rsidP="00DA6CCE">
          <w:pPr>
            <w:pStyle w:val="Prrafodelista"/>
            <w:tabs>
              <w:tab w:val="left" w:pos="3456"/>
            </w:tabs>
            <w:jc w:val="both"/>
            <w:rPr>
              <w:b/>
            </w:rPr>
          </w:pPr>
        </w:p>
        <w:p w:rsidR="00B56B75" w:rsidRDefault="00B56B75" w:rsidP="00DA6CCE">
          <w:pPr>
            <w:pStyle w:val="Prrafodelista"/>
            <w:numPr>
              <w:ilvl w:val="0"/>
              <w:numId w:val="1"/>
            </w:numPr>
            <w:jc w:val="both"/>
            <w:rPr>
              <w:b/>
            </w:rPr>
          </w:pPr>
          <w:r w:rsidRPr="00984B58">
            <w:rPr>
              <w:b/>
            </w:rPr>
            <w:lastRenderedPageBreak/>
            <w:t xml:space="preserve">Estructura de altas en la seguridad social por sexo y grupos de edad (Septiembre 2014) </w:t>
          </w:r>
        </w:p>
        <w:p w:rsidR="00A84D47" w:rsidRDefault="00D17F3A" w:rsidP="00DA6CCE">
          <w:pPr>
            <w:pStyle w:val="Prrafodelista"/>
            <w:tabs>
              <w:tab w:val="left" w:pos="3456"/>
            </w:tabs>
            <w:ind w:left="0"/>
            <w:jc w:val="both"/>
            <w:rPr>
              <w:b/>
            </w:rPr>
          </w:pPr>
          <w:r>
            <w:rPr>
              <w:noProof/>
              <w:lang w:eastAsia="es-ES"/>
            </w:rPr>
            <w:drawing>
              <wp:inline distT="0" distB="0" distL="0" distR="0" wp14:anchorId="002A9205" wp14:editId="7C3070DA">
                <wp:extent cx="5923280" cy="3342640"/>
                <wp:effectExtent l="0" t="0" r="20320" b="1016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222AC" w:rsidRDefault="008222AC" w:rsidP="00DA6CCE">
          <w:pPr>
            <w:pStyle w:val="Prrafodelista"/>
            <w:tabs>
              <w:tab w:val="left" w:pos="3456"/>
            </w:tabs>
            <w:ind w:left="0"/>
            <w:jc w:val="both"/>
            <w:rPr>
              <w:b/>
            </w:rPr>
          </w:pPr>
        </w:p>
        <w:p w:rsidR="00B56B75" w:rsidRDefault="00B56B75" w:rsidP="00DA6CCE">
          <w:pPr>
            <w:pStyle w:val="Prrafodelista"/>
            <w:numPr>
              <w:ilvl w:val="0"/>
              <w:numId w:val="1"/>
            </w:numPr>
            <w:jc w:val="both"/>
            <w:rPr>
              <w:b/>
            </w:rPr>
          </w:pPr>
          <w:r w:rsidRPr="00E562F3">
            <w:rPr>
              <w:b/>
            </w:rPr>
            <w:t>E</w:t>
          </w:r>
          <w:r>
            <w:rPr>
              <w:b/>
            </w:rPr>
            <w:t xml:space="preserve">structura de altas en la seguridad social por sexo y grupos de edad (Junio 2014) </w:t>
          </w:r>
        </w:p>
        <w:p w:rsidR="00B56B75" w:rsidRDefault="00B56B75" w:rsidP="00DA6CCE">
          <w:pPr>
            <w:pStyle w:val="Prrafodelista"/>
            <w:jc w:val="both"/>
            <w:rPr>
              <w:b/>
            </w:rPr>
          </w:pPr>
        </w:p>
        <w:p w:rsidR="00B56B75" w:rsidRDefault="00D17F3A" w:rsidP="00DA6CCE">
          <w:pPr>
            <w:pStyle w:val="Prrafodelista"/>
            <w:tabs>
              <w:tab w:val="left" w:pos="3456"/>
            </w:tabs>
            <w:ind w:left="0"/>
            <w:jc w:val="both"/>
            <w:rPr>
              <w:b/>
            </w:rPr>
          </w:pPr>
          <w:r>
            <w:rPr>
              <w:noProof/>
              <w:lang w:eastAsia="es-ES"/>
            </w:rPr>
            <w:drawing>
              <wp:inline distT="0" distB="0" distL="0" distR="0" wp14:anchorId="69664D63" wp14:editId="14B3B04D">
                <wp:extent cx="5923280" cy="3403600"/>
                <wp:effectExtent l="0" t="0" r="20320" b="2540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56B75" w:rsidRDefault="00B56B75"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287406" w:rsidRDefault="00287406" w:rsidP="00DA6CCE">
          <w:pPr>
            <w:pStyle w:val="Prrafodelista"/>
            <w:tabs>
              <w:tab w:val="left" w:pos="3456"/>
            </w:tabs>
            <w:ind w:left="0"/>
            <w:jc w:val="both"/>
            <w:rPr>
              <w:b/>
            </w:rPr>
          </w:pPr>
        </w:p>
        <w:p w:rsidR="006E0D50" w:rsidRDefault="006E0D50" w:rsidP="00DA6CCE">
          <w:pPr>
            <w:pStyle w:val="Prrafodelista"/>
            <w:tabs>
              <w:tab w:val="left" w:pos="3456"/>
            </w:tabs>
            <w:ind w:left="0"/>
            <w:jc w:val="both"/>
            <w:rPr>
              <w:b/>
            </w:rPr>
          </w:pPr>
        </w:p>
        <w:p w:rsidR="00B56B75" w:rsidRDefault="00B56B75" w:rsidP="00DA6CCE">
          <w:pPr>
            <w:pStyle w:val="Prrafodelista"/>
            <w:numPr>
              <w:ilvl w:val="0"/>
              <w:numId w:val="1"/>
            </w:numPr>
            <w:jc w:val="both"/>
            <w:rPr>
              <w:b/>
            </w:rPr>
          </w:pPr>
          <w:r w:rsidRPr="00967B27">
            <w:rPr>
              <w:b/>
            </w:rPr>
            <w:lastRenderedPageBreak/>
            <w:t xml:space="preserve">Total de altas en la seguridad social por actividad, agrupado por grupo y régimen (Junio 2014).  </w:t>
          </w:r>
        </w:p>
        <w:p w:rsidR="00B56B75" w:rsidRPr="00967B27" w:rsidRDefault="00B56B75" w:rsidP="00DA6CCE">
          <w:pPr>
            <w:pStyle w:val="Prrafodelista"/>
            <w:jc w:val="both"/>
            <w:rPr>
              <w:b/>
            </w:rPr>
          </w:pPr>
        </w:p>
        <w:p w:rsidR="00B56B75" w:rsidRDefault="00D17F3A" w:rsidP="00DA6CCE">
          <w:pPr>
            <w:pStyle w:val="Prrafodelista"/>
            <w:tabs>
              <w:tab w:val="left" w:pos="3456"/>
            </w:tabs>
            <w:ind w:left="0"/>
            <w:jc w:val="both"/>
            <w:rPr>
              <w:b/>
            </w:rPr>
          </w:pPr>
          <w:r>
            <w:rPr>
              <w:noProof/>
              <w:lang w:eastAsia="es-ES"/>
            </w:rPr>
            <w:drawing>
              <wp:inline distT="0" distB="0" distL="0" distR="0" wp14:anchorId="4C7F2B93" wp14:editId="45B789AF">
                <wp:extent cx="5923280" cy="3129280"/>
                <wp:effectExtent l="0" t="0" r="20320" b="1397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56B75" w:rsidRDefault="00B56B75" w:rsidP="00DA6CCE">
          <w:pPr>
            <w:pStyle w:val="Prrafodelista"/>
            <w:tabs>
              <w:tab w:val="left" w:pos="3456"/>
            </w:tabs>
            <w:ind w:left="0"/>
            <w:jc w:val="both"/>
            <w:rPr>
              <w:b/>
            </w:rPr>
          </w:pPr>
        </w:p>
        <w:p w:rsidR="00B56B75" w:rsidRDefault="00B56B75" w:rsidP="00DA6CCE">
          <w:pPr>
            <w:pStyle w:val="Prrafodelista"/>
            <w:numPr>
              <w:ilvl w:val="0"/>
              <w:numId w:val="1"/>
            </w:numPr>
            <w:jc w:val="both"/>
            <w:rPr>
              <w:b/>
            </w:rPr>
          </w:pPr>
          <w:r w:rsidRPr="00001DA8">
            <w:rPr>
              <w:b/>
            </w:rPr>
            <w:t xml:space="preserve">Altas por sexo </w:t>
          </w:r>
          <w:r>
            <w:rPr>
              <w:b/>
            </w:rPr>
            <w:t>agrupados en</w:t>
          </w:r>
          <w:r w:rsidRPr="00001DA8">
            <w:rPr>
              <w:b/>
            </w:rPr>
            <w:t xml:space="preserve"> grupos y régimen de cotización (Septiembre 2014) </w:t>
          </w:r>
        </w:p>
        <w:p w:rsidR="009E04F8" w:rsidRPr="00001DA8" w:rsidRDefault="009E04F8" w:rsidP="009E04F8">
          <w:pPr>
            <w:pStyle w:val="Prrafodelista"/>
            <w:jc w:val="both"/>
            <w:rPr>
              <w:b/>
            </w:rPr>
          </w:pPr>
        </w:p>
        <w:p w:rsidR="00746BD5" w:rsidRDefault="00D17F3A" w:rsidP="00695C58">
          <w:pPr>
            <w:pStyle w:val="Prrafodelista"/>
            <w:tabs>
              <w:tab w:val="left" w:pos="3456"/>
            </w:tabs>
            <w:ind w:left="0"/>
            <w:jc w:val="both"/>
            <w:rPr>
              <w:b/>
            </w:rPr>
          </w:pPr>
          <w:r>
            <w:rPr>
              <w:noProof/>
              <w:lang w:eastAsia="es-ES"/>
            </w:rPr>
            <w:drawing>
              <wp:inline distT="0" distB="0" distL="0" distR="0" wp14:anchorId="2D29CBE7" wp14:editId="378021C7">
                <wp:extent cx="5923280" cy="3596640"/>
                <wp:effectExtent l="0" t="0" r="20320" b="2286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33104" w:rsidRDefault="00433104" w:rsidP="00695C58">
          <w:pPr>
            <w:pStyle w:val="Prrafodelista"/>
            <w:tabs>
              <w:tab w:val="left" w:pos="3456"/>
            </w:tabs>
            <w:ind w:left="0"/>
            <w:jc w:val="both"/>
            <w:rPr>
              <w:b/>
            </w:rPr>
          </w:pPr>
        </w:p>
        <w:p w:rsidR="00BA5C6C" w:rsidRDefault="00BA5C6C" w:rsidP="00695C58">
          <w:pPr>
            <w:pStyle w:val="Prrafodelista"/>
            <w:tabs>
              <w:tab w:val="left" w:pos="3456"/>
            </w:tabs>
            <w:ind w:left="0"/>
            <w:jc w:val="both"/>
            <w:rPr>
              <w:b/>
            </w:rPr>
          </w:pPr>
        </w:p>
        <w:p w:rsidR="002B24BF" w:rsidRDefault="002B24BF" w:rsidP="00695C58">
          <w:pPr>
            <w:pStyle w:val="Prrafodelista"/>
            <w:tabs>
              <w:tab w:val="left" w:pos="3456"/>
            </w:tabs>
            <w:ind w:left="0"/>
            <w:jc w:val="both"/>
            <w:rPr>
              <w:b/>
            </w:rPr>
          </w:pPr>
        </w:p>
        <w:p w:rsidR="00D17F3A" w:rsidRPr="00565BB1" w:rsidRDefault="00D17F3A" w:rsidP="00695C58">
          <w:pPr>
            <w:pStyle w:val="Prrafodelista"/>
            <w:tabs>
              <w:tab w:val="left" w:pos="3456"/>
            </w:tabs>
            <w:ind w:left="0"/>
            <w:jc w:val="both"/>
            <w:rPr>
              <w:b/>
            </w:rPr>
          </w:pPr>
        </w:p>
        <w:p w:rsidR="00D16764" w:rsidRPr="00AF7330" w:rsidRDefault="00565BB1" w:rsidP="00DA6CCE">
          <w:pPr>
            <w:pStyle w:val="Prrafodelista"/>
            <w:numPr>
              <w:ilvl w:val="0"/>
              <w:numId w:val="1"/>
            </w:numPr>
            <w:tabs>
              <w:tab w:val="left" w:pos="3456"/>
            </w:tabs>
            <w:jc w:val="both"/>
            <w:rPr>
              <w:b/>
            </w:rPr>
          </w:pPr>
          <w:r w:rsidRPr="009257EF">
            <w:rPr>
              <w:b/>
            </w:rPr>
            <w:lastRenderedPageBreak/>
            <w:t xml:space="preserve"> </w:t>
          </w:r>
          <w:r w:rsidR="00746BD5" w:rsidRPr="009257EF">
            <w:rPr>
              <w:b/>
            </w:rPr>
            <w:t>Promedio de las fuentes tributarias que ex</w:t>
          </w:r>
          <w:r w:rsidR="004C76DF">
            <w:rPr>
              <w:b/>
            </w:rPr>
            <w:t>isten de cada tipo en el grupo CEDE</w:t>
          </w:r>
          <w:r w:rsidR="00D17F3A">
            <w:rPr>
              <w:b/>
            </w:rPr>
            <w:t>SOR</w:t>
          </w:r>
          <w:r w:rsidR="002B24BF">
            <w:rPr>
              <w:b/>
            </w:rPr>
            <w:t xml:space="preserve"> </w:t>
          </w:r>
          <w:r w:rsidR="00AF7330" w:rsidRPr="00AF7330">
            <w:rPr>
              <w:b/>
            </w:rPr>
            <w:t>(2010).</w:t>
          </w:r>
        </w:p>
        <w:tbl>
          <w:tblPr>
            <w:tblStyle w:val="Sombreadoclaro-nfasis4"/>
            <w:tblW w:w="8024" w:type="dxa"/>
            <w:tblInd w:w="244" w:type="dxa"/>
            <w:tblLook w:val="04A0" w:firstRow="1" w:lastRow="0" w:firstColumn="1" w:lastColumn="0" w:noHBand="0" w:noVBand="1"/>
          </w:tblPr>
          <w:tblGrid>
            <w:gridCol w:w="1266"/>
            <w:gridCol w:w="1821"/>
            <w:gridCol w:w="1992"/>
            <w:gridCol w:w="2063"/>
            <w:gridCol w:w="882"/>
          </w:tblGrid>
          <w:tr w:rsidR="00D17F3A" w:rsidRPr="00D17F3A" w:rsidTr="00D17F3A">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66" w:type="dxa"/>
                <w:vMerge w:val="restart"/>
                <w:noWrap/>
                <w:hideMark/>
              </w:tcPr>
              <w:p w:rsidR="00D17F3A" w:rsidRPr="00D17F3A" w:rsidRDefault="00D17F3A" w:rsidP="00D17F3A">
                <w:pPr>
                  <w:rPr>
                    <w:rFonts w:ascii="Calibri" w:eastAsia="Times New Roman" w:hAnsi="Calibri" w:cs="Times New Roman"/>
                    <w:color w:val="000000"/>
                    <w:lang w:eastAsia="es-ES"/>
                  </w:rPr>
                </w:pPr>
                <w:r w:rsidRPr="00D17F3A">
                  <w:rPr>
                    <w:rFonts w:ascii="Calibri" w:eastAsia="Times New Roman" w:hAnsi="Calibri" w:cs="Times New Roman"/>
                    <w:color w:val="000000"/>
                    <w:lang w:eastAsia="es-ES"/>
                  </w:rPr>
                  <w:t>CEDESOR</w:t>
                </w:r>
              </w:p>
            </w:tc>
            <w:tc>
              <w:tcPr>
                <w:tcW w:w="1821" w:type="dxa"/>
                <w:noWrap/>
                <w:hideMark/>
              </w:tcPr>
              <w:p w:rsidR="00D17F3A" w:rsidRPr="00D17F3A" w:rsidRDefault="00D17F3A" w:rsidP="00D17F3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17F3A">
                  <w:rPr>
                    <w:rFonts w:ascii="Calibri" w:eastAsia="Times New Roman" w:hAnsi="Calibri" w:cs="Times New Roman"/>
                    <w:color w:val="000000"/>
                    <w:lang w:eastAsia="es-ES"/>
                  </w:rPr>
                  <w:t>Total percepciones salarios</w:t>
                </w:r>
              </w:p>
            </w:tc>
            <w:tc>
              <w:tcPr>
                <w:tcW w:w="1992" w:type="dxa"/>
                <w:noWrap/>
                <w:hideMark/>
              </w:tcPr>
              <w:p w:rsidR="00D17F3A" w:rsidRPr="00D17F3A" w:rsidRDefault="00D17F3A" w:rsidP="00D17F3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17F3A">
                  <w:rPr>
                    <w:rFonts w:ascii="Calibri" w:eastAsia="Times New Roman" w:hAnsi="Calibri" w:cs="Times New Roman"/>
                    <w:color w:val="000000"/>
                    <w:lang w:eastAsia="es-ES"/>
                  </w:rPr>
                  <w:t>Total Percepciones pensiones</w:t>
                </w:r>
              </w:p>
            </w:tc>
            <w:tc>
              <w:tcPr>
                <w:tcW w:w="2063" w:type="dxa"/>
                <w:noWrap/>
                <w:hideMark/>
              </w:tcPr>
              <w:p w:rsidR="00D17F3A" w:rsidRPr="00D17F3A" w:rsidRDefault="00D17F3A" w:rsidP="00D17F3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17F3A">
                  <w:rPr>
                    <w:rFonts w:ascii="Calibri" w:eastAsia="Times New Roman" w:hAnsi="Calibri" w:cs="Times New Roman"/>
                    <w:color w:val="000000"/>
                    <w:lang w:eastAsia="es-ES"/>
                  </w:rPr>
                  <w:t>Total Percepciones desempleo</w:t>
                </w:r>
              </w:p>
            </w:tc>
            <w:tc>
              <w:tcPr>
                <w:tcW w:w="882" w:type="dxa"/>
                <w:noWrap/>
                <w:hideMark/>
              </w:tcPr>
              <w:p w:rsidR="00D17F3A" w:rsidRPr="00D17F3A" w:rsidRDefault="00D17F3A" w:rsidP="00D17F3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17F3A">
                  <w:rPr>
                    <w:rFonts w:ascii="Calibri" w:eastAsia="Times New Roman" w:hAnsi="Calibri" w:cs="Times New Roman"/>
                    <w:bCs w:val="0"/>
                    <w:color w:val="000000"/>
                    <w:lang w:eastAsia="es-ES"/>
                  </w:rPr>
                  <w:t>Padró</w:t>
                </w:r>
                <w:r w:rsidRPr="00D17F3A">
                  <w:rPr>
                    <w:rFonts w:ascii="Calibri" w:eastAsia="Times New Roman" w:hAnsi="Calibri" w:cs="Times New Roman"/>
                    <w:color w:val="000000"/>
                    <w:lang w:eastAsia="es-ES"/>
                  </w:rPr>
                  <w:t>n total</w:t>
                </w:r>
              </w:p>
            </w:tc>
          </w:tr>
          <w:tr w:rsidR="00D17F3A" w:rsidRPr="00D17F3A" w:rsidTr="00D17F3A">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66" w:type="dxa"/>
                <w:vMerge/>
                <w:noWrap/>
                <w:hideMark/>
              </w:tcPr>
              <w:p w:rsidR="00D17F3A" w:rsidRPr="00D17F3A" w:rsidRDefault="00D17F3A" w:rsidP="00D17F3A">
                <w:pPr>
                  <w:rPr>
                    <w:rFonts w:ascii="Calibri" w:eastAsia="Times New Roman" w:hAnsi="Calibri" w:cs="Times New Roman"/>
                    <w:color w:val="000000"/>
                    <w:lang w:eastAsia="es-ES"/>
                  </w:rPr>
                </w:pPr>
              </w:p>
            </w:tc>
            <w:tc>
              <w:tcPr>
                <w:tcW w:w="1821" w:type="dxa"/>
                <w:noWrap/>
                <w:hideMark/>
              </w:tcPr>
              <w:p w:rsidR="00D17F3A" w:rsidRPr="00D17F3A" w:rsidRDefault="00D17F3A" w:rsidP="00D17F3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D17F3A">
                  <w:rPr>
                    <w:rFonts w:ascii="Calibri" w:eastAsia="Times New Roman" w:hAnsi="Calibri" w:cs="Times New Roman"/>
                    <w:b/>
                    <w:bCs/>
                    <w:color w:val="000000"/>
                    <w:lang w:eastAsia="es-ES"/>
                  </w:rPr>
                  <w:t>9024</w:t>
                </w:r>
              </w:p>
            </w:tc>
            <w:tc>
              <w:tcPr>
                <w:tcW w:w="1992" w:type="dxa"/>
                <w:noWrap/>
                <w:hideMark/>
              </w:tcPr>
              <w:p w:rsidR="00D17F3A" w:rsidRPr="00D17F3A" w:rsidRDefault="00D17F3A" w:rsidP="00D17F3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D17F3A">
                  <w:rPr>
                    <w:rFonts w:ascii="Calibri" w:eastAsia="Times New Roman" w:hAnsi="Calibri" w:cs="Times New Roman"/>
                    <w:b/>
                    <w:bCs/>
                    <w:color w:val="000000"/>
                    <w:lang w:eastAsia="es-ES"/>
                  </w:rPr>
                  <w:t>5584</w:t>
                </w:r>
              </w:p>
            </w:tc>
            <w:tc>
              <w:tcPr>
                <w:tcW w:w="2063" w:type="dxa"/>
                <w:noWrap/>
                <w:hideMark/>
              </w:tcPr>
              <w:p w:rsidR="00D17F3A" w:rsidRPr="00D17F3A" w:rsidRDefault="00D17F3A" w:rsidP="00D17F3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D17F3A">
                  <w:rPr>
                    <w:rFonts w:ascii="Calibri" w:eastAsia="Times New Roman" w:hAnsi="Calibri" w:cs="Times New Roman"/>
                    <w:b/>
                    <w:bCs/>
                    <w:color w:val="000000"/>
                    <w:lang w:eastAsia="es-ES"/>
                  </w:rPr>
                  <w:t>1794</w:t>
                </w:r>
              </w:p>
            </w:tc>
            <w:tc>
              <w:tcPr>
                <w:tcW w:w="882" w:type="dxa"/>
                <w:noWrap/>
                <w:hideMark/>
              </w:tcPr>
              <w:p w:rsidR="00D17F3A" w:rsidRPr="00D17F3A" w:rsidRDefault="00D17F3A" w:rsidP="00D17F3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D17F3A">
                  <w:rPr>
                    <w:rFonts w:ascii="Calibri" w:eastAsia="Times New Roman" w:hAnsi="Calibri" w:cs="Times New Roman"/>
                    <w:b/>
                    <w:bCs/>
                    <w:color w:val="000000"/>
                    <w:lang w:eastAsia="es-ES"/>
                  </w:rPr>
                  <w:t>20663</w:t>
                </w:r>
              </w:p>
            </w:tc>
          </w:tr>
        </w:tbl>
        <w:p w:rsidR="00746BD5" w:rsidRDefault="00746BD5" w:rsidP="00DA6CCE">
          <w:pPr>
            <w:pStyle w:val="Prrafodelista"/>
            <w:tabs>
              <w:tab w:val="left" w:pos="3456"/>
            </w:tabs>
            <w:jc w:val="both"/>
            <w:rPr>
              <w:b/>
            </w:rPr>
          </w:pPr>
        </w:p>
        <w:p w:rsidR="00746BD5" w:rsidRDefault="00746BD5" w:rsidP="00BE3139">
          <w:pPr>
            <w:pStyle w:val="Prrafodelista"/>
            <w:tabs>
              <w:tab w:val="left" w:pos="3456"/>
            </w:tabs>
            <w:jc w:val="center"/>
            <w:rPr>
              <w:b/>
            </w:rPr>
          </w:pPr>
        </w:p>
        <w:p w:rsidR="00A84D47" w:rsidRDefault="00A84D47" w:rsidP="00DA6CCE">
          <w:pPr>
            <w:pStyle w:val="Prrafodelista"/>
            <w:tabs>
              <w:tab w:val="left" w:pos="3456"/>
            </w:tabs>
            <w:ind w:left="567"/>
            <w:jc w:val="both"/>
            <w:rPr>
              <w:b/>
            </w:rPr>
          </w:pPr>
        </w:p>
        <w:p w:rsidR="00EC5221" w:rsidRDefault="00EC5221" w:rsidP="00DA6CCE">
          <w:pPr>
            <w:pStyle w:val="Prrafodelista"/>
            <w:tabs>
              <w:tab w:val="left" w:pos="3456"/>
            </w:tabs>
            <w:jc w:val="both"/>
            <w:rPr>
              <w:b/>
            </w:rPr>
          </w:pPr>
        </w:p>
        <w:p w:rsidR="00EC5221" w:rsidRDefault="00EC5221" w:rsidP="00DA6CCE">
          <w:pPr>
            <w:pStyle w:val="Prrafodelista"/>
            <w:tabs>
              <w:tab w:val="left" w:pos="3456"/>
            </w:tabs>
            <w:jc w:val="both"/>
            <w:rPr>
              <w:b/>
            </w:rPr>
          </w:pPr>
        </w:p>
        <w:p w:rsidR="007A3D6C" w:rsidRDefault="007A3D6C" w:rsidP="00DA6CCE">
          <w:pPr>
            <w:pStyle w:val="Prrafodelista"/>
            <w:tabs>
              <w:tab w:val="left" w:pos="3456"/>
            </w:tabs>
            <w:ind w:left="284"/>
            <w:jc w:val="both"/>
            <w:rPr>
              <w:b/>
            </w:rPr>
          </w:pPr>
        </w:p>
        <w:p w:rsidR="00EC5221" w:rsidRDefault="00EC5221" w:rsidP="00DA6CCE">
          <w:pPr>
            <w:pStyle w:val="Prrafodelista"/>
            <w:tabs>
              <w:tab w:val="left" w:pos="3456"/>
            </w:tabs>
            <w:ind w:left="284"/>
            <w:jc w:val="both"/>
            <w:rPr>
              <w:b/>
            </w:rPr>
          </w:pPr>
        </w:p>
        <w:p w:rsidR="00924E6A" w:rsidRDefault="00924E6A" w:rsidP="00DA6CCE">
          <w:pPr>
            <w:pStyle w:val="Prrafodelista"/>
            <w:tabs>
              <w:tab w:val="left" w:pos="3456"/>
            </w:tabs>
            <w:ind w:left="284"/>
            <w:jc w:val="both"/>
            <w:rPr>
              <w:b/>
            </w:rPr>
          </w:pPr>
        </w:p>
        <w:p w:rsidR="00924E6A" w:rsidRDefault="00924E6A" w:rsidP="00DA6CCE">
          <w:pPr>
            <w:pStyle w:val="Prrafodelista"/>
            <w:tabs>
              <w:tab w:val="left" w:pos="3456"/>
            </w:tabs>
            <w:ind w:left="284"/>
            <w:jc w:val="both"/>
            <w:rPr>
              <w:b/>
            </w:rPr>
          </w:pPr>
        </w:p>
        <w:p w:rsidR="003729DC" w:rsidRDefault="003729DC" w:rsidP="00DA6CCE">
          <w:pPr>
            <w:pStyle w:val="Prrafodelista"/>
            <w:tabs>
              <w:tab w:val="left" w:pos="3456"/>
            </w:tabs>
            <w:ind w:left="284"/>
            <w:jc w:val="both"/>
            <w:rPr>
              <w:b/>
            </w:rPr>
          </w:pPr>
        </w:p>
        <w:p w:rsidR="00424122" w:rsidRDefault="00424122"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Pr="006E2A0B" w:rsidRDefault="00B8002C" w:rsidP="006E2A0B">
          <w:pPr>
            <w:tabs>
              <w:tab w:val="left" w:pos="3456"/>
            </w:tabs>
            <w:jc w:val="both"/>
            <w:rPr>
              <w:b/>
            </w:rPr>
          </w:pPr>
        </w:p>
        <w:p w:rsidR="003D4E91" w:rsidRDefault="003D4E91" w:rsidP="00DA6CCE">
          <w:pPr>
            <w:pStyle w:val="Prrafodelista"/>
            <w:tabs>
              <w:tab w:val="left" w:pos="3456"/>
            </w:tabs>
            <w:ind w:left="284"/>
            <w:jc w:val="both"/>
          </w:pPr>
          <w:r>
            <w:rPr>
              <w:b/>
            </w:rPr>
            <w:lastRenderedPageBreak/>
            <w:t xml:space="preserve">              </w:t>
          </w:r>
          <w:r w:rsidRPr="003D4E91">
            <w:t>A continuación se mostrarán algunos mapas de carácter representativo que nos darán las pautas para conocer y poder resolver los problemas que existen en cada uno de los grupos LEADER, en este caso</w:t>
          </w:r>
          <w:r>
            <w:t xml:space="preserve"> </w:t>
          </w:r>
          <w:r w:rsidRPr="003D4E91">
            <w:t xml:space="preserve">siendo el Grupo de </w:t>
          </w:r>
          <w:r w:rsidR="00286C91">
            <w:t xml:space="preserve">Acción Local </w:t>
          </w:r>
          <w:r w:rsidR="000F1DA7">
            <w:t>CEDESOR</w:t>
          </w:r>
          <w:r w:rsidR="00F00D75">
            <w:t>.</w:t>
          </w:r>
        </w:p>
        <w:p w:rsidR="00D139A2" w:rsidRDefault="00D139A2" w:rsidP="00DA6CCE">
          <w:pPr>
            <w:pStyle w:val="Prrafodelista"/>
            <w:tabs>
              <w:tab w:val="left" w:pos="3456"/>
            </w:tabs>
            <w:ind w:left="284"/>
            <w:jc w:val="both"/>
          </w:pPr>
          <w:r>
            <w:tab/>
          </w:r>
        </w:p>
        <w:p w:rsidR="00D139A2" w:rsidRDefault="00D139A2" w:rsidP="00DA6CCE">
          <w:pPr>
            <w:pStyle w:val="Prrafodelista"/>
            <w:tabs>
              <w:tab w:val="left" w:pos="3456"/>
            </w:tabs>
            <w:ind w:left="284"/>
            <w:jc w:val="both"/>
          </w:pPr>
          <w:r>
            <w:t xml:space="preserve">           Al realizar esta serie de mapas se han tenido en cuenta los totales sobre el total de cada territorio a excepción del caso del mapa de envejecimiento medio de Aragón sobre el total de cada municipio donde se ha aplicado un criterio a través del cual se han clasificado las tasas de envejecimiento para cada municipio  en función de si su valor era inferior, igual o superior a la media total de envejecimiento aragonés.</w:t>
          </w:r>
        </w:p>
        <w:p w:rsidR="003D4E91" w:rsidRDefault="003D4E91" w:rsidP="00DA6CCE">
          <w:pPr>
            <w:pStyle w:val="Prrafodelista"/>
            <w:tabs>
              <w:tab w:val="left" w:pos="3456"/>
            </w:tabs>
            <w:ind w:left="284"/>
            <w:jc w:val="both"/>
          </w:pPr>
        </w:p>
        <w:p w:rsidR="003D4E91" w:rsidRPr="00F00D75" w:rsidRDefault="003D4E91" w:rsidP="00F00D75">
          <w:pPr>
            <w:pStyle w:val="Prrafodelista"/>
            <w:tabs>
              <w:tab w:val="left" w:pos="3456"/>
            </w:tabs>
            <w:ind w:left="284"/>
            <w:jc w:val="both"/>
          </w:pPr>
          <w:r>
            <w:t xml:space="preserve">            Como vemos se trata de un grupo </w:t>
          </w:r>
          <w:r w:rsidR="00924E6A">
            <w:t>formado por la</w:t>
          </w:r>
          <w:r w:rsidR="00286C91">
            <w:t xml:space="preserve"> </w:t>
          </w:r>
          <w:r w:rsidR="000A6EFE">
            <w:t xml:space="preserve">agrupación de comarcas </w:t>
          </w:r>
          <w:r w:rsidR="000F1DA7">
            <w:t xml:space="preserve">de La Ribagorza y </w:t>
          </w:r>
          <w:proofErr w:type="spellStart"/>
          <w:r w:rsidR="000F1DA7">
            <w:t>Sobrarbe</w:t>
          </w:r>
          <w:proofErr w:type="spellEnd"/>
          <w:r w:rsidR="009508AE">
            <w:t xml:space="preserve"> </w:t>
          </w:r>
          <w:r w:rsidR="00924E6A">
            <w:t>y engloba un total de</w:t>
          </w:r>
          <w:r w:rsidR="00286C91">
            <w:t xml:space="preserve"> </w:t>
          </w:r>
          <w:r w:rsidR="000F1DA7">
            <w:t>53</w:t>
          </w:r>
          <w:r w:rsidR="00286C91">
            <w:t xml:space="preserve"> </w:t>
          </w:r>
          <w:r w:rsidR="00924E6A">
            <w:t>municipios.</w:t>
          </w:r>
        </w:p>
        <w:p w:rsidR="00B96BF7" w:rsidRDefault="000F1DA7" w:rsidP="000F1DA7">
          <w:pPr>
            <w:jc w:val="center"/>
          </w:pPr>
          <w:r>
            <w:rPr>
              <w:noProof/>
              <w:lang w:eastAsia="es-ES"/>
            </w:rPr>
            <w:drawing>
              <wp:inline distT="0" distB="0" distL="0" distR="0" wp14:anchorId="499CA65C" wp14:editId="19A6F3D0">
                <wp:extent cx="4114800" cy="5618480"/>
                <wp:effectExtent l="0" t="0" r="0" b="1270"/>
                <wp:docPr id="34" name="Imagen 34" descr="C:\Users\miriam\AppData\Local\Microsoft\Windows\INetCache\Content.Word\Localiz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iriam\AppData\Local\Microsoft\Windows\INetCache\Content.Word\Localizació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14800" cy="5618480"/>
                        </a:xfrm>
                        <a:prstGeom prst="rect">
                          <a:avLst/>
                        </a:prstGeom>
                        <a:noFill/>
                        <a:ln>
                          <a:noFill/>
                        </a:ln>
                      </pic:spPr>
                    </pic:pic>
                  </a:graphicData>
                </a:graphic>
              </wp:inline>
            </w:drawing>
          </w:r>
        </w:p>
        <w:p w:rsidR="00F00D75" w:rsidRDefault="00F00D75" w:rsidP="008D4C33">
          <w:pPr>
            <w:ind w:firstLine="708"/>
            <w:jc w:val="both"/>
          </w:pPr>
        </w:p>
        <w:p w:rsidR="00F00D75" w:rsidRDefault="00F00D75" w:rsidP="008D4C33">
          <w:pPr>
            <w:ind w:firstLine="708"/>
            <w:jc w:val="both"/>
          </w:pPr>
        </w:p>
        <w:p w:rsidR="000F1DA7" w:rsidRDefault="000F1DA7" w:rsidP="008D4C33">
          <w:pPr>
            <w:ind w:firstLine="708"/>
            <w:jc w:val="both"/>
          </w:pPr>
        </w:p>
        <w:p w:rsidR="008D4C33" w:rsidRDefault="00924E6A" w:rsidP="008D4C33">
          <w:pPr>
            <w:ind w:firstLine="708"/>
            <w:jc w:val="both"/>
          </w:pPr>
          <w:r>
            <w:lastRenderedPageBreak/>
            <w:t>El grupo de acción local</w:t>
          </w:r>
          <w:r w:rsidR="00737319">
            <w:t xml:space="preserve"> </w:t>
          </w:r>
          <w:r w:rsidR="00517368">
            <w:t xml:space="preserve">CEDESOR está formado por la agrupación de las comarcas </w:t>
          </w:r>
          <w:r w:rsidR="00517368">
            <w:t xml:space="preserve">de La Ribagorza y </w:t>
          </w:r>
          <w:r w:rsidR="00517368">
            <w:t xml:space="preserve">el </w:t>
          </w:r>
          <w:proofErr w:type="spellStart"/>
          <w:r w:rsidR="00517368">
            <w:t>Sobrarbe</w:t>
          </w:r>
          <w:proofErr w:type="spellEnd"/>
          <w:r w:rsidR="00517368">
            <w:t xml:space="preserve">. En la zona </w:t>
          </w:r>
          <w:r w:rsidR="00517368">
            <w:t>NW-SE</w:t>
          </w:r>
          <w:r w:rsidR="00517368">
            <w:t xml:space="preserve"> del </w:t>
          </w:r>
          <w:proofErr w:type="spellStart"/>
          <w:r w:rsidR="00517368">
            <w:t>Sobrarbe</w:t>
          </w:r>
          <w:proofErr w:type="spellEnd"/>
          <w:r w:rsidR="00517368">
            <w:t xml:space="preserve"> encontramos elevadas altitudes características del Pirineo axial, mientras que en la parte central se disponen </w:t>
          </w:r>
          <w:r w:rsidR="00517368">
            <w:t xml:space="preserve">localidades como Broto, </w:t>
          </w:r>
          <w:proofErr w:type="spellStart"/>
          <w:r w:rsidR="00517368">
            <w:t>Aínsa</w:t>
          </w:r>
          <w:proofErr w:type="spellEnd"/>
          <w:r w:rsidR="00517368">
            <w:t xml:space="preserve"> o </w:t>
          </w:r>
          <w:proofErr w:type="spellStart"/>
          <w:r w:rsidR="00517368">
            <w:t>Boltaña</w:t>
          </w:r>
          <w:proofErr w:type="spellEnd"/>
          <w:r w:rsidR="00517368">
            <w:t xml:space="preserve">, </w:t>
          </w:r>
          <w:r w:rsidR="00517368">
            <w:t xml:space="preserve">donde </w:t>
          </w:r>
          <w:r w:rsidR="00517368">
            <w:t xml:space="preserve">está representada la depresión media </w:t>
          </w:r>
          <w:proofErr w:type="spellStart"/>
          <w:r w:rsidR="00517368">
            <w:t>prepirenaica</w:t>
          </w:r>
          <w:proofErr w:type="spellEnd"/>
          <w:r w:rsidR="00517368">
            <w:t xml:space="preserve"> </w:t>
          </w:r>
          <w:r w:rsidR="00517368">
            <w:t>y en la parte más meridional se encuentran las sierras exteriores del Pirineo. En el caso de la Ribagorza, encontramos en general la disposición de un área característica con relieves que conforman el Pirineo Axial.</w:t>
          </w:r>
        </w:p>
        <w:p w:rsidR="0073084C" w:rsidRDefault="00517368" w:rsidP="006F0720">
          <w:pPr>
            <w:ind w:firstLine="284"/>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6pt;height:506.4pt">
                <v:imagedata r:id="rId37" o:title="mediofisic"/>
              </v:shape>
            </w:pict>
          </w:r>
          <w:bookmarkStart w:id="0" w:name="_GoBack"/>
          <w:bookmarkEnd w:id="0"/>
        </w:p>
        <w:p w:rsidR="003D4E91" w:rsidRDefault="003D4E91" w:rsidP="00452FBF">
          <w:pPr>
            <w:jc w:val="center"/>
            <w:rPr>
              <w:b/>
            </w:rPr>
          </w:pPr>
        </w:p>
        <w:p w:rsidR="009508AE" w:rsidRDefault="009508AE" w:rsidP="00DA6CCE">
          <w:pPr>
            <w:jc w:val="both"/>
            <w:rPr>
              <w:b/>
            </w:rPr>
          </w:pPr>
        </w:p>
        <w:p w:rsidR="00943066" w:rsidRDefault="00943066" w:rsidP="00DA6CCE">
          <w:pPr>
            <w:jc w:val="both"/>
            <w:rPr>
              <w:b/>
            </w:rPr>
          </w:pPr>
        </w:p>
        <w:p w:rsidR="00592215" w:rsidRPr="003A5493" w:rsidRDefault="003D4E91" w:rsidP="00517368">
          <w:pPr>
            <w:ind w:firstLine="284"/>
            <w:jc w:val="both"/>
            <w:rPr>
              <w:rFonts w:ascii="Calibri" w:eastAsia="Times New Roman" w:hAnsi="Calibri" w:cs="Times New Roman"/>
              <w:color w:val="000000"/>
              <w:lang w:eastAsia="es-ES"/>
            </w:rPr>
          </w:pPr>
          <w:r w:rsidRPr="003D4E91">
            <w:lastRenderedPageBreak/>
            <w:t xml:space="preserve">A la hora de llevar a cabo un estudio de lo que sería la población de la zona vemos como </w:t>
          </w:r>
          <w:r>
            <w:t xml:space="preserve">la mayoría de los municipios presenta altos niveles de masculinidad según las tasas calculadas y aplicadas para ello. </w:t>
          </w:r>
          <w:r w:rsidR="00D139A2">
            <w:t xml:space="preserve">En el caso de </w:t>
          </w:r>
          <w:r w:rsidR="000F1DA7">
            <w:t>CEDESOR</w:t>
          </w:r>
          <w:r w:rsidR="00891EB9">
            <w:t xml:space="preserve"> </w:t>
          </w:r>
          <w:r w:rsidR="000A6D47">
            <w:t xml:space="preserve"> </w:t>
          </w:r>
          <w:r w:rsidR="00BE5550">
            <w:t>vemos como la mayoría de municipios presentan tasas de masculinida</w:t>
          </w:r>
          <w:r w:rsidR="00E81C69">
            <w:t xml:space="preserve">d superiores a las de feminidad. </w:t>
          </w:r>
          <w:r w:rsidR="00090BB0">
            <w:t xml:space="preserve">A excepción de </w:t>
          </w:r>
          <w:r w:rsidR="003A5493">
            <w:t xml:space="preserve">Palo, Puente de </w:t>
          </w:r>
          <w:proofErr w:type="spellStart"/>
          <w:r w:rsidR="003A5493">
            <w:t>Montañana</w:t>
          </w:r>
          <w:proofErr w:type="spellEnd"/>
          <w:r w:rsidR="003A5493">
            <w:t xml:space="preserve">, </w:t>
          </w:r>
          <w:proofErr w:type="spellStart"/>
          <w:r w:rsidR="003A5493" w:rsidRPr="003A5493">
            <w:rPr>
              <w:rFonts w:ascii="Calibri" w:eastAsia="Times New Roman" w:hAnsi="Calibri" w:cs="Times New Roman"/>
              <w:color w:val="000000"/>
              <w:lang w:eastAsia="es-ES"/>
            </w:rPr>
            <w:t>Santaliestra</w:t>
          </w:r>
          <w:proofErr w:type="spellEnd"/>
          <w:r w:rsidR="003A5493" w:rsidRPr="003A5493">
            <w:rPr>
              <w:rFonts w:ascii="Calibri" w:eastAsia="Times New Roman" w:hAnsi="Calibri" w:cs="Times New Roman"/>
              <w:color w:val="000000"/>
              <w:lang w:eastAsia="es-ES"/>
            </w:rPr>
            <w:t xml:space="preserve"> y San </w:t>
          </w:r>
          <w:proofErr w:type="spellStart"/>
          <w:r w:rsidR="003A5493" w:rsidRPr="003A5493">
            <w:rPr>
              <w:rFonts w:ascii="Calibri" w:eastAsia="Times New Roman" w:hAnsi="Calibri" w:cs="Times New Roman"/>
              <w:color w:val="000000"/>
              <w:lang w:eastAsia="es-ES"/>
            </w:rPr>
            <w:t>Quílez</w:t>
          </w:r>
          <w:proofErr w:type="spellEnd"/>
          <w:r w:rsidR="003A5493">
            <w:rPr>
              <w:rFonts w:ascii="Calibri" w:eastAsia="Times New Roman" w:hAnsi="Calibri" w:cs="Times New Roman"/>
              <w:color w:val="000000"/>
              <w:lang w:eastAsia="es-ES"/>
            </w:rPr>
            <w:t xml:space="preserve">, </w:t>
          </w:r>
          <w:proofErr w:type="spellStart"/>
          <w:r w:rsidR="003A5493">
            <w:rPr>
              <w:rFonts w:ascii="Calibri" w:eastAsia="Times New Roman" w:hAnsi="Calibri" w:cs="Times New Roman"/>
              <w:color w:val="000000"/>
              <w:lang w:eastAsia="es-ES"/>
            </w:rPr>
            <w:t>Secastilla</w:t>
          </w:r>
          <w:proofErr w:type="spellEnd"/>
          <w:r w:rsidR="003A5493">
            <w:rPr>
              <w:rFonts w:ascii="Calibri" w:eastAsia="Times New Roman" w:hAnsi="Calibri" w:cs="Times New Roman"/>
              <w:color w:val="000000"/>
              <w:lang w:eastAsia="es-ES"/>
            </w:rPr>
            <w:t xml:space="preserve"> y Torre la Ribera.</w:t>
          </w:r>
        </w:p>
        <w:p w:rsidR="0073084C" w:rsidRDefault="00517368" w:rsidP="00DA6CCE">
          <w:pPr>
            <w:jc w:val="both"/>
            <w:rPr>
              <w:b/>
            </w:rPr>
          </w:pPr>
          <w:r>
            <w:rPr>
              <w:b/>
            </w:rPr>
            <w:pict>
              <v:shape id="_x0000_i1026" type="#_x0000_t75" style="width:424.8pt;height:600.8pt">
                <v:imagedata r:id="rId38" o:title="densi_femmasc"/>
              </v:shape>
            </w:pict>
          </w:r>
        </w:p>
        <w:p w:rsidR="009A7493" w:rsidRDefault="009A7493" w:rsidP="00DA6CCE">
          <w:pPr>
            <w:jc w:val="both"/>
            <w:rPr>
              <w:b/>
            </w:rPr>
          </w:pPr>
        </w:p>
        <w:p w:rsidR="00592215" w:rsidRPr="00592215" w:rsidRDefault="00592215" w:rsidP="0073084C">
          <w:pPr>
            <w:ind w:firstLine="708"/>
            <w:jc w:val="both"/>
          </w:pPr>
          <w:r>
            <w:lastRenderedPageBreak/>
            <w:t xml:space="preserve">En cuanto al </w:t>
          </w:r>
          <w:r w:rsidRPr="005C032F">
            <w:rPr>
              <w:b/>
            </w:rPr>
            <w:t>envejecimiento</w:t>
          </w:r>
          <w:r>
            <w:t xml:space="preserve">, encontrábamos valores muy altos para todos los casos por lo que lo que decidimos fue partir de la idea de que existía ese problema para prácticamente el total de municipios y a raíz de ahí establecer una diferenciación clara al comparar dichos valores con la media total de envejecimiento de Aragón en función de si estos eran inferiores, iguales o superiores a la misma. </w:t>
          </w:r>
        </w:p>
        <w:p w:rsidR="003D4E91" w:rsidRDefault="00517368" w:rsidP="00BE533F">
          <w:pPr>
            <w:tabs>
              <w:tab w:val="left" w:pos="1985"/>
            </w:tabs>
            <w:jc w:val="center"/>
            <w:rPr>
              <w:b/>
            </w:rPr>
          </w:pPr>
          <w:r>
            <w:rPr>
              <w:b/>
              <w:noProof/>
              <w:lang w:eastAsia="es-ES"/>
            </w:rPr>
            <w:pict>
              <v:shape id="_x0000_i1027" type="#_x0000_t75" style="width:355.2pt;height:503.2pt">
                <v:imagedata r:id="rId39" o:title="ENVEJARAG_CEDESOR"/>
              </v:shape>
            </w:pict>
          </w:r>
        </w:p>
        <w:p w:rsidR="00B4331E" w:rsidRDefault="00592215" w:rsidP="00DA6CCE">
          <w:pPr>
            <w:jc w:val="both"/>
          </w:pPr>
          <w:r>
            <w:rPr>
              <w:b/>
            </w:rPr>
            <w:tab/>
          </w:r>
          <w:r w:rsidR="00DB2988" w:rsidRPr="00DB2988">
            <w:t xml:space="preserve">En gris aparecen representados aquellos municipios de los que no se disponen datos mientras que, en verde vemos aquellos municipios que presentan cifras medias de envejecimiento por debajo de la media de Aragón siendo en este caso </w:t>
          </w:r>
          <w:proofErr w:type="spellStart"/>
          <w:r w:rsidR="00DB2988" w:rsidRPr="00DB2988">
            <w:t>Benasque</w:t>
          </w:r>
          <w:proofErr w:type="spellEnd"/>
          <w:r w:rsidR="00DB2988" w:rsidRPr="00DB2988">
            <w:t xml:space="preserve"> (54,4%), </w:t>
          </w:r>
          <w:proofErr w:type="spellStart"/>
          <w:r w:rsidR="00DB2988" w:rsidRPr="00DB2988">
            <w:t>Villanova</w:t>
          </w:r>
          <w:proofErr w:type="spellEnd"/>
          <w:r w:rsidR="00DB2988" w:rsidRPr="00DB2988">
            <w:t xml:space="preserve"> (65%) y Castejón de </w:t>
          </w:r>
          <w:proofErr w:type="spellStart"/>
          <w:r w:rsidR="00DB2988" w:rsidRPr="00DB2988">
            <w:t>Sos</w:t>
          </w:r>
          <w:proofErr w:type="spellEnd"/>
          <w:r w:rsidR="00DB2988" w:rsidRPr="00DB2988">
            <w:t xml:space="preserve"> (67,9%).</w:t>
          </w:r>
          <w:r w:rsidR="00DB2988">
            <w:rPr>
              <w:b/>
            </w:rPr>
            <w:t xml:space="preserve"> </w:t>
          </w:r>
          <w:r w:rsidR="00F00D75">
            <w:t>En</w:t>
          </w:r>
          <w:r w:rsidR="00AB3ED5">
            <w:t xml:space="preserve"> amarillo</w:t>
          </w:r>
          <w:r w:rsidR="00085C12">
            <w:t xml:space="preserve"> </w:t>
          </w:r>
          <w:r>
            <w:t xml:space="preserve"> </w:t>
          </w:r>
          <w:r w:rsidR="00F00D75">
            <w:t>se muestran</w:t>
          </w:r>
          <w:r w:rsidR="009A7493">
            <w:t xml:space="preserve"> aquellos municipios con valores semejantes </w:t>
          </w:r>
          <w:r>
            <w:t>a la media de Aragón</w:t>
          </w:r>
          <w:r w:rsidR="00855FEF">
            <w:t xml:space="preserve">, </w:t>
          </w:r>
          <w:proofErr w:type="spellStart"/>
          <w:r w:rsidR="00DB2988">
            <w:t>Boltaña</w:t>
          </w:r>
          <w:proofErr w:type="spellEnd"/>
          <w:r w:rsidR="00DB2988">
            <w:t xml:space="preserve"> (83,3%), Fiscal (92%) y </w:t>
          </w:r>
          <w:proofErr w:type="spellStart"/>
          <w:r w:rsidR="00DB2988">
            <w:t>Aínsa-Sobrarbe</w:t>
          </w:r>
          <w:proofErr w:type="spellEnd"/>
          <w:r w:rsidR="00DB2988">
            <w:t xml:space="preserve"> (93,9%) son los</w:t>
          </w:r>
          <w:r w:rsidR="00855FEF">
            <w:t xml:space="preserve"> municipio</w:t>
          </w:r>
          <w:r w:rsidR="00DB2988">
            <w:t>s</w:t>
          </w:r>
          <w:r w:rsidR="00855FEF">
            <w:t xml:space="preserve"> que cumple este requisito</w:t>
          </w:r>
          <w:r w:rsidR="0073084C">
            <w:t>.</w:t>
          </w:r>
          <w:r w:rsidR="00D1226C">
            <w:t xml:space="preserve"> </w:t>
          </w:r>
          <w:r w:rsidR="0073084C">
            <w:t>Y</w:t>
          </w:r>
          <w:r w:rsidR="00A347CE">
            <w:t xml:space="preserve">, </w:t>
          </w:r>
          <w:r>
            <w:t xml:space="preserve">los valores que se representan en diferentes tonalidades de rojo son aquellos </w:t>
          </w:r>
          <w:r w:rsidR="00AB3ED5">
            <w:t xml:space="preserve">que se encuentran por encima de la media. Con </w:t>
          </w:r>
          <w:r w:rsidR="00AB3ED5">
            <w:lastRenderedPageBreak/>
            <w:t xml:space="preserve">estas tonalidades hemos querido resaltar aquellos municipios que dentro de tasas altas de envejecimiento tienen valores </w:t>
          </w:r>
          <w:r w:rsidR="005C032F">
            <w:t>más</w:t>
          </w:r>
          <w:r w:rsidR="00AB3ED5">
            <w:t xml:space="preserve"> alarmantes y cuales todavía no tanto</w:t>
          </w:r>
          <w:r w:rsidR="000B686B">
            <w:t xml:space="preserve">. </w:t>
          </w:r>
          <w:proofErr w:type="spellStart"/>
          <w:r w:rsidR="00B330FA">
            <w:t>Fanlo</w:t>
          </w:r>
          <w:proofErr w:type="spellEnd"/>
          <w:r w:rsidR="00B330FA">
            <w:t xml:space="preserve"> (3800%), Palo (1000%), </w:t>
          </w:r>
          <w:proofErr w:type="spellStart"/>
          <w:r w:rsidR="00B330FA">
            <w:t>Monesma</w:t>
          </w:r>
          <w:proofErr w:type="spellEnd"/>
          <w:r w:rsidR="00B330FA">
            <w:t xml:space="preserve"> y </w:t>
          </w:r>
          <w:proofErr w:type="spellStart"/>
          <w:r w:rsidR="00B330FA">
            <w:t>Cajigar</w:t>
          </w:r>
          <w:proofErr w:type="spellEnd"/>
          <w:r w:rsidR="00B330FA">
            <w:t xml:space="preserve"> (900%), </w:t>
          </w:r>
          <w:proofErr w:type="spellStart"/>
          <w:r w:rsidR="00B330FA">
            <w:t>Santaliestra</w:t>
          </w:r>
          <w:proofErr w:type="spellEnd"/>
          <w:r w:rsidR="00B330FA">
            <w:t xml:space="preserve"> y San </w:t>
          </w:r>
          <w:proofErr w:type="spellStart"/>
          <w:r w:rsidR="00B330FA">
            <w:t>Quilez</w:t>
          </w:r>
          <w:proofErr w:type="spellEnd"/>
          <w:r w:rsidR="00B330FA">
            <w:t xml:space="preserve"> (775%), </w:t>
          </w:r>
          <w:proofErr w:type="spellStart"/>
          <w:r w:rsidR="00B330FA">
            <w:t>Seira</w:t>
          </w:r>
          <w:proofErr w:type="spellEnd"/>
          <w:r w:rsidR="00B330FA">
            <w:t xml:space="preserve"> (657,1%) y </w:t>
          </w:r>
          <w:proofErr w:type="spellStart"/>
          <w:r w:rsidR="00B330FA">
            <w:t>Jistaín</w:t>
          </w:r>
          <w:proofErr w:type="spellEnd"/>
          <w:r w:rsidR="00B330FA">
            <w:t xml:space="preserve"> (633,3%) </w:t>
          </w:r>
          <w:r w:rsidR="00F916A3">
            <w:t>son los</w:t>
          </w:r>
          <w:r w:rsidR="00B4331E">
            <w:t xml:space="preserve"> municipio</w:t>
          </w:r>
          <w:r w:rsidR="00F916A3">
            <w:t>s</w:t>
          </w:r>
          <w:r w:rsidR="00B4331E">
            <w:t xml:space="preserve"> que mayor envejecimiento del grupo presenta</w:t>
          </w:r>
          <w:r w:rsidR="00F916A3">
            <w:t>n</w:t>
          </w:r>
          <w:r w:rsidR="00B4331E">
            <w:t xml:space="preserve"> situándose </w:t>
          </w:r>
          <w:r w:rsidR="000725D3">
            <w:t xml:space="preserve">en una </w:t>
          </w:r>
          <w:r w:rsidR="00B4331E">
            <w:t xml:space="preserve">posición </w:t>
          </w:r>
          <w:r w:rsidR="000725D3">
            <w:t xml:space="preserve"> alarmante en cuanto a la media de envejecimien</w:t>
          </w:r>
          <w:r w:rsidR="0012353F">
            <w:t>to de Aragón.</w:t>
          </w:r>
        </w:p>
        <w:p w:rsidR="005C032F" w:rsidRDefault="005C032F" w:rsidP="00DA6CCE">
          <w:pPr>
            <w:jc w:val="both"/>
          </w:pPr>
          <w:r>
            <w:tab/>
            <w:t>Respecto al envejecimiento también hemos querido analizar si precisamente, esta condición puede guardar relación con otra serie de variables como se muestran en los dos mapas a continuación, el paro y la masculinización de la población.</w:t>
          </w:r>
          <w:r w:rsidR="00923EF1" w:rsidRPr="00923EF1">
            <w:t xml:space="preserve"> </w:t>
          </w:r>
        </w:p>
        <w:p w:rsidR="005C032F" w:rsidRDefault="00517368" w:rsidP="00452FBF">
          <w:pPr>
            <w:jc w:val="center"/>
          </w:pPr>
          <w:r>
            <w:pict>
              <v:shape id="_x0000_i1028" type="#_x0000_t75" style="width:332.8pt;height:472pt">
                <v:imagedata r:id="rId40" o:title="tasaenvej_paro"/>
              </v:shape>
            </w:pict>
          </w:r>
        </w:p>
        <w:p w:rsidR="00731030" w:rsidRDefault="005C032F" w:rsidP="00DA6CCE">
          <w:pPr>
            <w:jc w:val="both"/>
          </w:pPr>
          <w:r>
            <w:tab/>
            <w:t>En este primer mapa lo que encontramos es como a primera vista vemos que los lugares donde las tasas de envejecimiento son superiores muestran unas tasas de paro más bajas, lo cual es lógico ya que, el rasgo del envejecimiento implica población con edades altas, de los 65 en adelante, donde prácticamente el total poblacional ya está jubilado y evidentemente el paro apenas existe</w:t>
          </w:r>
          <w:r w:rsidR="00AB3ED5">
            <w:t>.</w:t>
          </w:r>
          <w:r w:rsidR="00D1226C">
            <w:t xml:space="preserve"> </w:t>
          </w:r>
        </w:p>
        <w:p w:rsidR="005C032F" w:rsidRDefault="005C032F" w:rsidP="00DA6CCE">
          <w:pPr>
            <w:jc w:val="both"/>
          </w:pPr>
          <w:r>
            <w:lastRenderedPageBreak/>
            <w:tab/>
            <w:t>En este segundo caso hemos querido establecer la relación entre la variable masculinidad y la tasa de envejecimiento para conocer si realmente los municipios que muestran altas tasas de envejecimiento son aquellos donde la tasa de masculinidad es mayor.</w:t>
          </w:r>
        </w:p>
        <w:p w:rsidR="005C032F" w:rsidRDefault="00517368" w:rsidP="00452FBF">
          <w:pPr>
            <w:jc w:val="center"/>
          </w:pPr>
          <w:r>
            <w:pict>
              <v:shape id="_x0000_i1029" type="#_x0000_t75" style="width:391.2pt;height:552.8pt">
                <v:imagedata r:id="rId41" o:title="mascu_envej"/>
              </v:shape>
            </w:pict>
          </w:r>
        </w:p>
        <w:p w:rsidR="005C032F" w:rsidRDefault="005C032F" w:rsidP="00DA6CCE">
          <w:pPr>
            <w:jc w:val="both"/>
          </w:pPr>
          <w:r>
            <w:tab/>
            <w:t xml:space="preserve">Al representar los valores de las variables en el mapa vemos como prácticamente las tasas de masculinidad </w:t>
          </w:r>
          <w:r w:rsidR="00923EF1">
            <w:t>son muy parecidas en todos los lugares y, aunque se reducen algo en aquellos municipios donde el índice de envejecimiento es menor, no podemos decir que exista una relación significativa  entre ambas variables.</w:t>
          </w:r>
        </w:p>
        <w:p w:rsidR="005C032F" w:rsidRDefault="00A870E9" w:rsidP="00DA6CCE">
          <w:pPr>
            <w:ind w:firstLine="708"/>
            <w:jc w:val="both"/>
          </w:pPr>
          <w:r>
            <w:lastRenderedPageBreak/>
            <w:t xml:space="preserve">Aparte de la cartografía más representativa a nivel demográfico hemos querido realizar una serie de mapas relacionados con los datos a nivel </w:t>
          </w:r>
          <w:r w:rsidRPr="00A870E9">
            <w:rPr>
              <w:b/>
            </w:rPr>
            <w:t>económico</w:t>
          </w:r>
          <w:r>
            <w:t xml:space="preserve"> que pueden mostrarnos las características específicas de cada área en cuanto a paro, altas a la seguridad social durante el periodo de septiembre de 2014 o el porcentaje de ocupación en cada uno de los sectores económicos sobre el total de actividades.</w:t>
          </w:r>
        </w:p>
        <w:p w:rsidR="00DA6CCE" w:rsidRDefault="00517368" w:rsidP="00CE6A13">
          <w:pPr>
            <w:ind w:firstLine="426"/>
            <w:jc w:val="center"/>
          </w:pPr>
          <w:r>
            <w:rPr>
              <w:noProof/>
              <w:lang w:eastAsia="es-ES"/>
            </w:rPr>
            <w:pict>
              <v:shape id="_x0000_i1030" type="#_x0000_t75" style="width:339.2pt;height:480pt">
                <v:imagedata r:id="rId42" o:title="densi_activeconom"/>
              </v:shape>
            </w:pict>
          </w:r>
        </w:p>
        <w:p w:rsidR="00DA6CCE" w:rsidRDefault="00DA6CCE" w:rsidP="0089418C">
          <w:pPr>
            <w:ind w:firstLine="708"/>
            <w:jc w:val="both"/>
          </w:pPr>
          <w:r>
            <w:t xml:space="preserve">En este primer mapa vemos una clara diferenciación en función de las diferentes actividades económicas desarrolladas en los municipios que se engloban en el grupo </w:t>
          </w:r>
          <w:r w:rsidR="00EB1834">
            <w:t>CED</w:t>
          </w:r>
          <w:r w:rsidR="00A23C7D">
            <w:t>E</w:t>
          </w:r>
          <w:r w:rsidR="00786699">
            <w:t xml:space="preserve">SOR </w:t>
          </w:r>
          <w:r>
            <w:t xml:space="preserve">en función de su densidad. Según lo que podemos apreciar aquellos municipios donde la densidad es media o alta presenta un porcentaje de ocupación sobre el total de actividades mayor en el ámbito de los servicios. Prácticamente en todas las áreas incluso en aquellas donde la densidad de población es baja el porcentaje de ocupación en el sector servicios es mayor por lo que podemos decir que se trata de </w:t>
          </w:r>
          <w:r w:rsidRPr="00DA6CCE">
            <w:rPr>
              <w:b/>
            </w:rPr>
            <w:t>áreas terciarizadas.</w:t>
          </w:r>
          <w:r>
            <w:rPr>
              <w:b/>
            </w:rPr>
            <w:t xml:space="preserve"> </w:t>
          </w:r>
          <w:r w:rsidRPr="00DA6CCE">
            <w:t>Bien es cierto, que el porcentaje de ocupación en actividades pri</w:t>
          </w:r>
          <w:r w:rsidR="0089418C">
            <w:t>marias aumenta su peso respecto al del sector servicios en los municipios con densidades más bajas aunque nunca llega a superarlo.</w:t>
          </w:r>
        </w:p>
        <w:p w:rsidR="00F6732C" w:rsidRDefault="00517368" w:rsidP="00DA6CCE">
          <w:pPr>
            <w:ind w:firstLine="284"/>
            <w:jc w:val="center"/>
          </w:pPr>
          <w:r>
            <w:lastRenderedPageBreak/>
            <w:pict>
              <v:shape id="_x0000_i1031" type="#_x0000_t75" style="width:404pt;height:572pt">
                <v:imagedata r:id="rId43" o:title="DENSI_PARO"/>
              </v:shape>
            </w:pict>
          </w:r>
        </w:p>
        <w:p w:rsidR="00277627" w:rsidRPr="00592215" w:rsidRDefault="00B07BC3" w:rsidP="00BC2390">
          <w:pPr>
            <w:ind w:firstLine="284"/>
            <w:jc w:val="both"/>
          </w:pPr>
          <w:r w:rsidRPr="00B07BC3">
            <w:t xml:space="preserve">La </w:t>
          </w:r>
          <w:r w:rsidRPr="002E0141">
            <w:rPr>
              <w:b/>
            </w:rPr>
            <w:t>tasa de paro</w:t>
          </w:r>
          <w:r w:rsidR="00F6732C" w:rsidRPr="00B07BC3">
            <w:rPr>
              <w:b/>
              <w:color w:val="FF0000"/>
            </w:rPr>
            <w:t xml:space="preserve"> </w:t>
          </w:r>
          <w:r w:rsidR="00F6732C" w:rsidRPr="00B07BC3">
            <w:t>se trata de un indicador que muestra el porcentaje de población que se encuentra en ese momento sin trabajo y que está buscándolo</w:t>
          </w:r>
          <w:r>
            <w:t xml:space="preserve"> </w:t>
          </w:r>
          <w:r w:rsidRPr="00B07BC3">
            <w:rPr>
              <w:color w:val="000000"/>
            </w:rPr>
            <w:t>es decir, la población económicamente activa que no posee un trabajo.</w:t>
          </w:r>
          <w:r>
            <w:rPr>
              <w:color w:val="000000"/>
            </w:rPr>
            <w:t xml:space="preserve"> </w:t>
          </w:r>
          <w:r w:rsidR="00F6732C">
            <w:t>Como vemos en el mapa anterior la densidad sí que se trata de una variable que influye en la cantidad de paro en un determinado lugar. Lo cual hace lógicamente que, como podemos observar, sean aquellos municipios donde la densidad sea más baja los lugares donde la tasa de paro sea menor que en el resto.</w:t>
          </w:r>
          <w:r w:rsidR="008828FA">
            <w:t xml:space="preserve"> </w:t>
          </w:r>
          <w:proofErr w:type="spellStart"/>
          <w:r w:rsidR="00A23C7D">
            <w:t>Graús</w:t>
          </w:r>
          <w:proofErr w:type="spellEnd"/>
          <w:r w:rsidR="00A23C7D">
            <w:t xml:space="preserve">, </w:t>
          </w:r>
          <w:proofErr w:type="spellStart"/>
          <w:r w:rsidR="00A23C7D">
            <w:t>Aínsa-Sobrarbe</w:t>
          </w:r>
          <w:proofErr w:type="spellEnd"/>
          <w:r w:rsidR="00A23C7D">
            <w:t xml:space="preserve">, </w:t>
          </w:r>
          <w:proofErr w:type="spellStart"/>
          <w:r w:rsidR="00A23C7D">
            <w:t>Boltaña</w:t>
          </w:r>
          <w:proofErr w:type="spellEnd"/>
          <w:r w:rsidR="00A23C7D">
            <w:t xml:space="preserve">, </w:t>
          </w:r>
          <w:proofErr w:type="spellStart"/>
          <w:r w:rsidR="00A23C7D">
            <w:t>Benabarre</w:t>
          </w:r>
          <w:proofErr w:type="spellEnd"/>
          <w:r w:rsidR="00A23C7D">
            <w:t xml:space="preserve"> y </w:t>
          </w:r>
          <w:proofErr w:type="spellStart"/>
          <w:r w:rsidR="00A23C7D">
            <w:t>Benasque</w:t>
          </w:r>
          <w:proofErr w:type="spellEnd"/>
          <w:r w:rsidR="00A23C7D">
            <w:t xml:space="preserve"> son los</w:t>
          </w:r>
          <w:r w:rsidR="00F74E34">
            <w:t xml:space="preserve"> municipio</w:t>
          </w:r>
          <w:r w:rsidR="000E163E">
            <w:t>s</w:t>
          </w:r>
          <w:r w:rsidR="00EB7E4E">
            <w:t xml:space="preserve"> que </w:t>
          </w:r>
          <w:r w:rsidR="00F74E34">
            <w:t>mayor tasa de paro presenta</w:t>
          </w:r>
          <w:r w:rsidR="00A23C7D">
            <w:t>n</w:t>
          </w:r>
          <w:r w:rsidR="00EB7E4E">
            <w:t xml:space="preserve"> de todo el grupo</w:t>
          </w:r>
          <w:r w:rsidR="00D0138C">
            <w:t xml:space="preserve"> </w:t>
          </w:r>
          <w:r w:rsidR="00A23C7D">
            <w:t>CEDESOR.</w:t>
          </w:r>
        </w:p>
        <w:p w:rsidR="005047FE" w:rsidRDefault="00DA6CCE" w:rsidP="00DA6CCE">
          <w:pPr>
            <w:ind w:firstLine="284"/>
            <w:jc w:val="both"/>
          </w:pPr>
          <w:r>
            <w:lastRenderedPageBreak/>
            <w:t xml:space="preserve">Pero, más allá de lo que sería conocer la tasa de paro total sobre la densidad de población en el grupo </w:t>
          </w:r>
          <w:r w:rsidR="00503331">
            <w:t>CEDESOR</w:t>
          </w:r>
          <w:r w:rsidR="00502CCF">
            <w:t xml:space="preserve"> </w:t>
          </w:r>
          <w:r>
            <w:t>también hemos querido realizar un desglose de esta variable cartografiando un mapa que relaciona la tasa de paro de hombres y mujeres sobre la densidad, otro referido a la tasa de feminidad sobre el total de paro en mujeres y, por último otro que muestra la relación entre la tasa de masculinidad y el paro en hombres.</w:t>
          </w:r>
        </w:p>
      </w:sdtContent>
    </w:sdt>
    <w:p w:rsidR="003B3FA0" w:rsidRDefault="00517368" w:rsidP="00452FBF">
      <w:pPr>
        <w:jc w:val="center"/>
      </w:pPr>
      <w:r>
        <w:pict>
          <v:shape id="_x0000_i1032" type="#_x0000_t75" style="width:385.6pt;height:544pt">
            <v:imagedata r:id="rId44" o:title="densi_parohommuj"/>
          </v:shape>
        </w:pict>
      </w:r>
    </w:p>
    <w:p w:rsidR="00333763" w:rsidRDefault="00452FBF" w:rsidP="00452FBF">
      <w:pPr>
        <w:jc w:val="both"/>
      </w:pPr>
      <w:r>
        <w:tab/>
        <w:t xml:space="preserve">En este caso vemos como al establecer la diferenciación en el paro de hombres y mujeres encontramos </w:t>
      </w:r>
      <w:r w:rsidR="00F06F79">
        <w:t>que tanto existen municipios donde el paro en hombres es superior al de mujeres y viceversa además de municipios donde solo existe paro en hombre o solo en mujeres.</w:t>
      </w:r>
    </w:p>
    <w:p w:rsidR="00A954F5" w:rsidRDefault="00A954F5" w:rsidP="0046445A">
      <w:pPr>
        <w:ind w:firstLine="708"/>
        <w:jc w:val="both"/>
      </w:pPr>
      <w:r>
        <w:lastRenderedPageBreak/>
        <w:t xml:space="preserve">En cuanto a la tasa de feminidad respecto a la tasa de paro en mujeres, podemos ver como en el mapa apenas se aprecian áreas con tasas de paro elevadas en mujeres a excepción del caso de  </w:t>
      </w:r>
      <w:proofErr w:type="spellStart"/>
      <w:r w:rsidR="00D819FE">
        <w:t>Graús</w:t>
      </w:r>
      <w:proofErr w:type="spellEnd"/>
      <w:r w:rsidR="00D819FE">
        <w:t xml:space="preserve"> (</w:t>
      </w:r>
      <w:r w:rsidR="00952CB9">
        <w:t>14,81</w:t>
      </w:r>
      <w:r w:rsidR="00D819FE">
        <w:t xml:space="preserve">%), </w:t>
      </w:r>
      <w:proofErr w:type="spellStart"/>
      <w:r w:rsidR="00D819FE">
        <w:t>Aínsa-Sobrarbe</w:t>
      </w:r>
      <w:proofErr w:type="spellEnd"/>
      <w:r w:rsidR="00D819FE">
        <w:t xml:space="preserve"> (</w:t>
      </w:r>
      <w:r w:rsidR="00952CB9">
        <w:t>4,93</w:t>
      </w:r>
      <w:r w:rsidR="00D819FE">
        <w:t xml:space="preserve">%) y </w:t>
      </w:r>
      <w:proofErr w:type="spellStart"/>
      <w:r w:rsidR="00D819FE">
        <w:t>Boltaña</w:t>
      </w:r>
      <w:proofErr w:type="spellEnd"/>
      <w:r w:rsidR="00D819FE">
        <w:t xml:space="preserve"> (</w:t>
      </w:r>
      <w:r w:rsidR="00952CB9">
        <w:t>3,07</w:t>
      </w:r>
      <w:r w:rsidR="00D819FE">
        <w:t>%).</w:t>
      </w:r>
    </w:p>
    <w:p w:rsidR="00B522B6" w:rsidRDefault="00517368" w:rsidP="006C1ADA">
      <w:pPr>
        <w:jc w:val="center"/>
      </w:pPr>
      <w:r>
        <w:pict>
          <v:shape id="_x0000_i1033" type="#_x0000_t75" style="width:424.8pt;height:600.8pt">
            <v:imagedata r:id="rId45" o:title="fem_paromuj"/>
          </v:shape>
        </w:pict>
      </w:r>
    </w:p>
    <w:p w:rsidR="00BF1814" w:rsidRDefault="00BF1814" w:rsidP="006C1ADA">
      <w:pPr>
        <w:jc w:val="center"/>
      </w:pPr>
    </w:p>
    <w:p w:rsidR="00BF1814" w:rsidRDefault="00BF1814" w:rsidP="006C1ADA">
      <w:pPr>
        <w:jc w:val="center"/>
      </w:pPr>
    </w:p>
    <w:p w:rsidR="00A954F5" w:rsidRDefault="00A954F5" w:rsidP="00A954F5">
      <w:pPr>
        <w:ind w:firstLine="708"/>
        <w:jc w:val="both"/>
      </w:pPr>
      <w:r>
        <w:lastRenderedPageBreak/>
        <w:t xml:space="preserve">Por otro lado vemos el mapa referente a la tasa de masculinidad respecto a la tasa de paro en hombres </w:t>
      </w:r>
      <w:r w:rsidR="006958DB">
        <w:t>y, lo que observamo</w:t>
      </w:r>
      <w:r w:rsidR="00DB2C44">
        <w:t>s es que, en su mayoría</w:t>
      </w:r>
      <w:r w:rsidR="00B522B6">
        <w:t xml:space="preserve">, </w:t>
      </w:r>
      <w:r w:rsidR="00806846">
        <w:t>las mayores tasas de paro se concentran en las áreas donde existe una densidad de población media-alta</w:t>
      </w:r>
      <w:r w:rsidR="007B08E0">
        <w:t xml:space="preserve"> o alta</w:t>
      </w:r>
      <w:r w:rsidR="00806846">
        <w:t xml:space="preserve">. </w:t>
      </w:r>
      <w:r w:rsidR="00F91968">
        <w:t>El municipio</w:t>
      </w:r>
      <w:r w:rsidR="00806846">
        <w:t xml:space="preserve"> que presentan las mayores cifras de paro en hombres </w:t>
      </w:r>
      <w:r w:rsidR="00F91968">
        <w:t>es</w:t>
      </w:r>
      <w:r w:rsidR="00806846">
        <w:t xml:space="preserve"> </w:t>
      </w:r>
      <w:proofErr w:type="spellStart"/>
      <w:r w:rsidR="007B08E0">
        <w:t>Graús</w:t>
      </w:r>
      <w:proofErr w:type="spellEnd"/>
      <w:r w:rsidR="007B08E0">
        <w:t xml:space="preserve"> (10,01%), </w:t>
      </w:r>
      <w:proofErr w:type="spellStart"/>
      <w:r w:rsidR="007B08E0">
        <w:t>Aínsa-Sobrarbe</w:t>
      </w:r>
      <w:proofErr w:type="spellEnd"/>
      <w:r w:rsidR="007B08E0">
        <w:t xml:space="preserve"> (7,47%), </w:t>
      </w:r>
      <w:proofErr w:type="spellStart"/>
      <w:r w:rsidR="007B08E0">
        <w:t>Boltaña</w:t>
      </w:r>
      <w:proofErr w:type="spellEnd"/>
      <w:r w:rsidR="007B08E0">
        <w:t xml:space="preserve"> (4,4%) y </w:t>
      </w:r>
      <w:proofErr w:type="spellStart"/>
      <w:r w:rsidR="007B08E0">
        <w:t>Benabarre</w:t>
      </w:r>
      <w:proofErr w:type="spellEnd"/>
      <w:r w:rsidR="007B08E0">
        <w:t xml:space="preserve"> (4,4%).</w:t>
      </w:r>
    </w:p>
    <w:p w:rsidR="0010130B" w:rsidRDefault="00517368" w:rsidP="00EE410C">
      <w:pPr>
        <w:jc w:val="center"/>
      </w:pPr>
      <w:r>
        <w:pict>
          <v:shape id="_x0000_i1034" type="#_x0000_t75" style="width:424.8pt;height:600.8pt">
            <v:imagedata r:id="rId46" o:title="mascu_parohom"/>
          </v:shape>
        </w:pict>
      </w:r>
    </w:p>
    <w:p w:rsidR="00EE410C" w:rsidRDefault="00EE410C" w:rsidP="006A02CE"/>
    <w:p w:rsidR="006E4407" w:rsidRDefault="0010130B" w:rsidP="00A744E6">
      <w:pPr>
        <w:ind w:firstLine="993"/>
        <w:jc w:val="both"/>
      </w:pPr>
      <w:r>
        <w:lastRenderedPageBreak/>
        <w:t xml:space="preserve">Otra última relación que nos resultó interesante a la hora de realizar el análisis sobre </w:t>
      </w:r>
      <w:r w:rsidR="001F60B6">
        <w:t xml:space="preserve">la tasa de paro en el grupo </w:t>
      </w:r>
      <w:r w:rsidR="007015FF">
        <w:t>CEDESOR</w:t>
      </w:r>
      <w:r w:rsidR="00A51B0F">
        <w:t xml:space="preserve"> </w:t>
      </w:r>
      <w:r>
        <w:t>fue la del paro total y la tasa de masculinidad</w:t>
      </w:r>
      <w:r w:rsidRPr="0010130B">
        <w:t xml:space="preserve"> </w:t>
      </w:r>
      <w:r w:rsidR="00A744E6">
        <w:t xml:space="preserve">de cada </w:t>
      </w:r>
      <w:r>
        <w:t xml:space="preserve">municipio. </w:t>
      </w:r>
    </w:p>
    <w:p w:rsidR="0010130B" w:rsidRDefault="00517368" w:rsidP="00920468">
      <w:pPr>
        <w:ind w:firstLine="567"/>
        <w:jc w:val="both"/>
      </w:pPr>
      <w:r>
        <w:pict>
          <v:shape id="_x0000_i1035" type="#_x0000_t75" style="width:409.6pt;height:580pt">
            <v:imagedata r:id="rId47" o:title="mascu_paro"/>
          </v:shape>
        </w:pict>
      </w:r>
    </w:p>
    <w:p w:rsidR="00A51B0F" w:rsidRDefault="0010130B" w:rsidP="00600947">
      <w:pPr>
        <w:ind w:firstLine="708"/>
        <w:jc w:val="both"/>
      </w:pPr>
      <w:r>
        <w:t xml:space="preserve">Al relacionar estas variables observamos como las áreas con una tasa de masculinidad </w:t>
      </w:r>
      <w:r w:rsidR="005014DE">
        <w:t>media</w:t>
      </w:r>
      <w:r w:rsidR="00A36B27">
        <w:t xml:space="preserve"> o media-alta</w:t>
      </w:r>
      <w:r w:rsidR="00A51B0F">
        <w:t xml:space="preserve"> presentan valores de paro mayores.</w:t>
      </w:r>
    </w:p>
    <w:p w:rsidR="00920468" w:rsidRDefault="00F00975" w:rsidP="00920468">
      <w:pPr>
        <w:ind w:firstLine="708"/>
        <w:jc w:val="both"/>
      </w:pPr>
      <w:r>
        <w:lastRenderedPageBreak/>
        <w:t xml:space="preserve">Por último hemos analizado otro indicador a nivel económico para cada municipio referente a las diferencias en la cantidad de </w:t>
      </w:r>
      <w:r w:rsidRPr="002C3354">
        <w:rPr>
          <w:b/>
        </w:rPr>
        <w:t xml:space="preserve">altas a la seguridad social </w:t>
      </w:r>
      <w:r>
        <w:t>en hombres y mujeres durante el periodo del mes de septiembre del año 2014</w:t>
      </w:r>
      <w:r w:rsidR="002C3354">
        <w:t xml:space="preserve">. </w:t>
      </w:r>
    </w:p>
    <w:p w:rsidR="00920468" w:rsidRDefault="00517368" w:rsidP="006A02CE">
      <w:pPr>
        <w:jc w:val="center"/>
      </w:pPr>
      <w:r>
        <w:pict>
          <v:shape id="_x0000_i1036" type="#_x0000_t75" style="width:411.2pt;height:580.8pt">
            <v:imagedata r:id="rId48" o:title="altassegss_densi"/>
          </v:shape>
        </w:pict>
      </w:r>
    </w:p>
    <w:p w:rsidR="007C3A15" w:rsidRDefault="004E34E8" w:rsidP="001F60B6">
      <w:pPr>
        <w:ind w:firstLine="424"/>
        <w:jc w:val="both"/>
      </w:pPr>
      <w:r>
        <w:t xml:space="preserve">Analizando el mapa vemos como </w:t>
      </w:r>
      <w:r w:rsidR="00B83F8E">
        <w:t xml:space="preserve">casi </w:t>
      </w:r>
      <w:r w:rsidR="0069681C">
        <w:t xml:space="preserve">todos los municipios muestran </w:t>
      </w:r>
      <w:r w:rsidR="00920468">
        <w:t xml:space="preserve">una clara mayoría de altas a la </w:t>
      </w:r>
      <w:r w:rsidR="0069681C">
        <w:t>seguridad social durante el periodo de septiembre de 2014 en hombres respecto a mujeres</w:t>
      </w:r>
      <w:r w:rsidR="00A36B27">
        <w:t>.</w:t>
      </w:r>
      <w:r w:rsidR="006A02CE">
        <w:t xml:space="preserve"> </w:t>
      </w:r>
    </w:p>
    <w:sectPr w:rsidR="007C3A15" w:rsidSect="00EC5221">
      <w:headerReference w:type="default" r:id="rId49"/>
      <w:footerReference w:type="default" r:id="rId50"/>
      <w:pgSz w:w="11906" w:h="16838"/>
      <w:pgMar w:top="1417" w:right="1701" w:bottom="568"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996" w:rsidRDefault="00DC4996" w:rsidP="005047FE">
      <w:pPr>
        <w:spacing w:after="0" w:line="240" w:lineRule="auto"/>
      </w:pPr>
      <w:r>
        <w:separator/>
      </w:r>
    </w:p>
  </w:endnote>
  <w:endnote w:type="continuationSeparator" w:id="0">
    <w:p w:rsidR="00DC4996" w:rsidRDefault="00DC4996" w:rsidP="00504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427773"/>
      <w:docPartObj>
        <w:docPartGallery w:val="Page Numbers (Bottom of Page)"/>
        <w:docPartUnique/>
      </w:docPartObj>
    </w:sdtPr>
    <w:sdtEndPr/>
    <w:sdtContent>
      <w:p w:rsidR="005047FE" w:rsidRDefault="005047FE">
        <w:pPr>
          <w:pStyle w:val="Piedepgina"/>
        </w:pPr>
        <w:r>
          <w:rPr>
            <w:noProof/>
            <w:lang w:eastAsia="es-ES"/>
          </w:rPr>
          <mc:AlternateContent>
            <mc:Choice Requires="wpg">
              <w:drawing>
                <wp:anchor distT="0" distB="0" distL="114300" distR="114300" simplePos="0" relativeHeight="251659264" behindDoc="0" locked="0" layoutInCell="0" allowOverlap="1" wp14:anchorId="5BA1ECCC" wp14:editId="6E0644A5">
                  <wp:simplePos x="0" y="0"/>
                  <wp:positionH relativeFrom="rightMargin">
                    <wp:align>left</wp:align>
                  </wp:positionH>
                  <wp:positionV relativeFrom="margin">
                    <wp:align>bottom</wp:align>
                  </wp:positionV>
                  <wp:extent cx="904875" cy="1902460"/>
                  <wp:effectExtent l="0" t="0" r="9525" b="12065"/>
                  <wp:wrapNone/>
                  <wp:docPr id="528" name="Grupo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04875" cy="1902460"/>
                            <a:chOff x="13" y="11415"/>
                            <a:chExt cx="1425" cy="2996"/>
                          </a:xfrm>
                        </wpg:grpSpPr>
                        <wpg:grpSp>
                          <wpg:cNvPr id="529" name="Group 529"/>
                          <wpg:cNvGrpSpPr>
                            <a:grpSpLocks/>
                          </wpg:cNvGrpSpPr>
                          <wpg:grpSpPr bwMode="auto">
                            <a:xfrm flipV="1">
                              <a:off x="13" y="14340"/>
                              <a:ext cx="1410" cy="71"/>
                              <a:chOff x="-83" y="540"/>
                              <a:chExt cx="1218" cy="71"/>
                            </a:xfrm>
                          </wpg:grpSpPr>
                          <wps:wsp>
                            <wps:cNvPr id="530" name="Rectangle 530"/>
                            <wps:cNvSpPr>
                              <a:spLocks noChangeArrowheads="1"/>
                            </wps:cNvSpPr>
                            <wps:spPr bwMode="auto">
                              <a:xfrm>
                                <a:off x="678" y="540"/>
                                <a:ext cx="457" cy="71"/>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wps:wsp>
                            <wps:cNvPr id="531" name="AutoShape 4"/>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g:grpSp>
                        <wps:wsp>
                          <wps:cNvPr id="532" name="Rectangle 532"/>
                          <wps:cNvSpPr>
                            <a:spLocks noChangeArrowheads="1"/>
                          </wps:cNvSpPr>
                          <wps:spPr bwMode="auto">
                            <a:xfrm>
                              <a:off x="405" y="11415"/>
                              <a:ext cx="1033" cy="280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5047FE" w:rsidRDefault="005047FE">
                                <w:pPr>
                                  <w:pStyle w:val="Sinespaciado"/>
                                  <w:jc w:val="right"/>
                                  <w:rPr>
                                    <w:outline/>
                                    <w:color w:val="000000"/>
                                    <w14:textOutline w14:w="9525" w14:cap="flat" w14:cmpd="sng" w14:algn="ctr">
                                      <w14:solidFill>
                                        <w14:srgbClr w14:val="000000"/>
                                      </w14:solidFill>
                                      <w14:prstDash w14:val="solid"/>
                                      <w14:round/>
                                    </w14:textOutline>
                                    <w14:textFill>
                                      <w14:noFill/>
                                    </w14:textFill>
                                  </w:rPr>
                                </w:pPr>
                                <w:r>
                                  <w:fldChar w:fldCharType="begin"/>
                                </w:r>
                                <w:r>
                                  <w:instrText>PAGE    \* MERGEFORMAT</w:instrText>
                                </w:r>
                                <w:r>
                                  <w:fldChar w:fldCharType="separate"/>
                                </w:r>
                                <w:r w:rsidR="00517368" w:rsidRPr="00517368">
                                  <w:rPr>
                                    <w:b/>
                                    <w:bCs/>
                                    <w:outline/>
                                    <w:noProof/>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t>12</w:t>
                                </w:r>
                                <w:r>
                                  <w:rPr>
                                    <w:b/>
                                    <w:bCs/>
                                    <w:outline/>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fldChar w:fldCharType="end"/>
                                </w:r>
                              </w:p>
                            </w:txbxContent>
                          </wps:txbx>
                          <wps:bodyPr rot="0" vert="vert" wrap="square" lIns="0" tIns="0" rIns="0" bIns="0" anchor="b" anchorCtr="0" upright="1">
                            <a:noAutofit/>
                          </wps:bodyPr>
                        </wps:wsp>
                      </wpg:wgp>
                    </a:graphicData>
                  </a:graphic>
                  <wp14:sizeRelH relativeFrom="rightMargin">
                    <wp14:pctWidth>100000</wp14:pctWidth>
                  </wp14:sizeRelH>
                  <wp14:sizeRelV relativeFrom="page">
                    <wp14:pctHeight>0</wp14:pctHeight>
                  </wp14:sizeRelV>
                </wp:anchor>
              </w:drawing>
            </mc:Choice>
            <mc:Fallback>
              <w:pict>
                <v:group id="Grupo 528" o:spid="_x0000_s1029" style="position:absolute;margin-left:0;margin-top:0;width:71.25pt;height:149.8pt;flip:x;z-index:251659264;mso-width-percent:1000;mso-position-horizontal:left;mso-position-horizontal-relative:right-margin-area;mso-position-vertical:bottom;mso-position-vertical-relative:margin;mso-width-percent:1000;mso-width-relative:righ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" o:allowincell="f">
                  <v:group id="Group 529" o:spid="_x0000_s1030" style="position:absolute;left:13;top:14340;width:1410;height:71;flip:y" coordorigin="-83,540" coordsize="121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YjGAwwAAANwAAAAP&#10;AAAAAAAAAAAAAAAAAKoCAABkcnMvZG93bnJldi54bWxQSwUGAAAAAAQABAD6AAAAmgMAAAAA&#10;">
                    <v:rect id="Rectangle 530" o:spid="_x0000_s1031" style="position:absolute;left:678;top:540;width:45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fgGcMA&#10;AADcAAAADwAAAGRycy9kb3ducmV2LnhtbERPS2vCQBC+F/oflin0Vje2VDS6ipRWCkrFF16H7JjE&#10;ZmfS7DbGf989CD1+fO/JrHOVaqnxpbCBfi8BRZyJLTk3sN99PA1B+YBssRImA1fyMJve300wtXLh&#10;DbXbkKsYwj5FA0UIdaq1zwpy6HtSE0fuJI3DEGGTa9vgJYa7Sj8nyUA7LDk2FFjTW0HZ9/bXGTjL&#10;UdrDl6xXqx9K3s/zxXq0XBjz+NDNx6ACdeFffHN/WgOvL3F+PBOPg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fgGcMAAADcAAAADwAAAAAAAAAAAAAAAACYAgAAZHJzL2Rv&#10;d25yZXYueG1sUEsFBgAAAAAEAAQA9QAAAIgDAAAAAA==&#10;" fillcolor="#5f497a" strokecolor="#5f497a"/>
                    <v:shapetype id="_x0000_t32" coordsize="21600,21600" o:spt="32" o:oned="t" path="m,l21600,21600e" filled="f">
                      <v:path arrowok="t" fillok="f" o:connecttype="none"/>
                      <o:lock v:ext="edit" shapetype="t"/>
                    </v:shapetype>
                    <v:shape id="AutoShape 4" o:spid="_x0000_s1032" type="#_x0000_t32" style="position:absolute;left:-83;top:540;width:7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Sg3sUAAADcAAAADwAAAGRycy9kb3ducmV2LnhtbESP3WrCQBSE74W+w3IK3ojZqFhKdJUi&#10;CLlrjX2A0+zJT5s9m2Y3P+3Tu4WCl8PMfMPsj5NpxECdqy0rWEUxCOLc6ppLBe/X8/IZhPPIGhvL&#10;pOCHHBwPD7M9JtqOfKEh86UIEHYJKqi8bxMpXV6RQRfZljh4he0M+iC7UuoOxwA3jVzH8ZM0WHNY&#10;qLClU0X5V9YbBXaRfp/kB3/202+73uTF22uajUrNH6eXHQhPk7+H/9upVrDdrODvTDgC8nA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Sg3sUAAADcAAAADwAAAAAAAAAA&#10;AAAAAAChAgAAZHJzL2Rvd25yZXYueG1sUEsFBgAAAAAEAAQA+QAAAJMDAAAAAA==&#10;" strokecolor="#5f497a"/>
                  </v:group>
                  <v:rect id="Rectangle 532" o:spid="_x0000_s1033" style="position:absolute;left:405;top:11415;width:1033;height:280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fgMUA&#10;AADcAAAADwAAAGRycy9kb3ducmV2LnhtbESPQWvCQBSE7wX/w/KE3upGg0VSV5GAYik91GrPz+wz&#10;Ccm+Dbtrkv77bqHQ4zAz3zDr7Wha0ZPztWUF81kCgriwuuZSwflz/7QC4QOyxtYyKfgmD9vN5GGN&#10;mbYDf1B/CqWIEPYZKqhC6DIpfVGRQT+zHXH0btYZDFG6UmqHQ4SbVi6S5FkarDkuVNhRXlHRnO5G&#10;wVe/0ng9mr279Onh9X15zQ/Nm1KP03H3AiLQGP7Df+2jVrBMF/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R+AxQAAANwAAAAPAAAAAAAAAAAAAAAAAJgCAABkcnMv&#10;ZG93bnJldi54bWxQSwUGAAAAAAQABAD1AAAAigMAAAAA&#10;" stroked="f">
                    <v:textbox style="layout-flow:vertical" inset="0,0,0,0">
                      <w:txbxContent>
                        <w:p w:rsidR="005047FE" w:rsidRDefault="005047FE">
                          <w:pPr>
                            <w:pStyle w:val="Sinespaciado"/>
                            <w:jc w:val="right"/>
                            <w:rPr>
                              <w:outline/>
                              <w:color w:val="000000"/>
                              <w14:textOutline w14:w="9525" w14:cap="flat" w14:cmpd="sng" w14:algn="ctr">
                                <w14:solidFill>
                                  <w14:srgbClr w14:val="000000"/>
                                </w14:solidFill>
                                <w14:prstDash w14:val="solid"/>
                                <w14:round/>
                              </w14:textOutline>
                              <w14:textFill>
                                <w14:noFill/>
                              </w14:textFill>
                            </w:rPr>
                          </w:pPr>
                          <w:r>
                            <w:fldChar w:fldCharType="begin"/>
                          </w:r>
                          <w:r>
                            <w:instrText>PAGE    \* MERGEFORMAT</w:instrText>
                          </w:r>
                          <w:r>
                            <w:fldChar w:fldCharType="separate"/>
                          </w:r>
                          <w:r w:rsidR="00517368" w:rsidRPr="00517368">
                            <w:rPr>
                              <w:b/>
                              <w:bCs/>
                              <w:outline/>
                              <w:noProof/>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t>12</w:t>
                          </w:r>
                          <w:r>
                            <w:rPr>
                              <w:b/>
                              <w:bCs/>
                              <w:outline/>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996" w:rsidRDefault="00DC4996" w:rsidP="005047FE">
      <w:pPr>
        <w:spacing w:after="0" w:line="240" w:lineRule="auto"/>
      </w:pPr>
      <w:r>
        <w:separator/>
      </w:r>
    </w:p>
  </w:footnote>
  <w:footnote w:type="continuationSeparator" w:id="0">
    <w:p w:rsidR="00DC4996" w:rsidRDefault="00DC4996" w:rsidP="005047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7412"/>
      <w:gridCol w:w="1308"/>
    </w:tblGrid>
    <w:tr w:rsidR="005047FE">
      <w:trPr>
        <w:trHeight w:val="475"/>
      </w:trPr>
      <w:sdt>
        <w:sdtPr>
          <w:rPr>
            <w:caps/>
            <w:color w:val="FFFFFF" w:themeColor="background1"/>
          </w:rPr>
          <w:alias w:val="Título"/>
          <w:id w:val="78273368"/>
          <w:dataBinding w:prefixMappings="xmlns:ns0='http://schemas.openxmlformats.org/package/2006/metadata/core-properties' xmlns:ns1='http://purl.org/dc/elements/1.1/'" w:xpath="/ns0:coreProperties[1]/ns1:title[1]" w:storeItemID="{6C3C8BC8-F283-45AE-878A-BAB7291924A1}"/>
          <w:text/>
        </w:sdtPr>
        <w:sdtEndPr/>
        <w:sdtContent>
          <w:tc>
            <w:tcPr>
              <w:tcW w:w="4250" w:type="pct"/>
              <w:shd w:val="clear" w:color="auto" w:fill="8064A2" w:themeFill="accent4"/>
              <w:vAlign w:val="center"/>
            </w:tcPr>
            <w:p w:rsidR="005047FE" w:rsidRDefault="007D2958" w:rsidP="00CD1578">
              <w:pPr>
                <w:pStyle w:val="Encabezado"/>
                <w:jc w:val="center"/>
                <w:rPr>
                  <w:caps/>
                  <w:color w:val="FFFFFF" w:themeColor="background1"/>
                </w:rPr>
              </w:pPr>
              <w:r>
                <w:rPr>
                  <w:caps/>
                  <w:color w:val="FFFFFF" w:themeColor="background1"/>
                </w:rPr>
                <w:t>Caracterización territorial de Sobrarbe y La Ribagorza. Centro para el Desarrollo del Sobrarbe y la Ribagorza (Cedesor)</w:t>
              </w:r>
            </w:p>
          </w:tc>
        </w:sdtContent>
      </w:sdt>
      <w:tc>
        <w:tcPr>
          <w:tcW w:w="750" w:type="pct"/>
          <w:shd w:val="clear" w:color="auto" w:fill="000000" w:themeFill="text1"/>
          <w:vAlign w:val="center"/>
        </w:tcPr>
        <w:p w:rsidR="005047FE" w:rsidRDefault="005047FE" w:rsidP="005047FE">
          <w:pPr>
            <w:pStyle w:val="Encabezado"/>
            <w:jc w:val="right"/>
            <w:rPr>
              <w:color w:val="FFFFFF" w:themeColor="background1"/>
            </w:rPr>
          </w:pPr>
        </w:p>
      </w:tc>
    </w:tr>
  </w:tbl>
  <w:p w:rsidR="005047FE" w:rsidRDefault="005047F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D4D23"/>
    <w:multiLevelType w:val="hybridMultilevel"/>
    <w:tmpl w:val="37B458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58A2CE3"/>
    <w:multiLevelType w:val="hybridMultilevel"/>
    <w:tmpl w:val="7DF23F3A"/>
    <w:lvl w:ilvl="0" w:tplc="0C0A0001">
      <w:start w:val="1"/>
      <w:numFmt w:val="bullet"/>
      <w:lvlText w:val=""/>
      <w:lvlJc w:val="left"/>
      <w:pPr>
        <w:ind w:left="1146" w:hanging="360"/>
      </w:pPr>
      <w:rPr>
        <w:rFonts w:ascii="Symbol" w:hAnsi="Symbol" w:hint="default"/>
      </w:rPr>
    </w:lvl>
    <w:lvl w:ilvl="1" w:tplc="0C0A0003">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
    <w:nsid w:val="0DF76E2D"/>
    <w:multiLevelType w:val="hybridMultilevel"/>
    <w:tmpl w:val="1D9A167E"/>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1D4F0F58"/>
    <w:multiLevelType w:val="hybridMultilevel"/>
    <w:tmpl w:val="C92EA0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64C5C2E"/>
    <w:multiLevelType w:val="hybridMultilevel"/>
    <w:tmpl w:val="402E81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E49432B"/>
    <w:multiLevelType w:val="hybridMultilevel"/>
    <w:tmpl w:val="C892414E"/>
    <w:lvl w:ilvl="0" w:tplc="0C0A0003">
      <w:start w:val="1"/>
      <w:numFmt w:val="bullet"/>
      <w:lvlText w:val="o"/>
      <w:lvlJc w:val="left"/>
      <w:pPr>
        <w:ind w:left="1146" w:hanging="360"/>
      </w:pPr>
      <w:rPr>
        <w:rFonts w:ascii="Courier New" w:hAnsi="Courier New" w:cs="Courier New" w:hint="default"/>
      </w:rPr>
    </w:lvl>
    <w:lvl w:ilvl="1" w:tplc="0C0A0003">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6">
    <w:nsid w:val="4A992637"/>
    <w:multiLevelType w:val="hybridMultilevel"/>
    <w:tmpl w:val="80B04EFE"/>
    <w:lvl w:ilvl="0" w:tplc="0C0A0003">
      <w:start w:val="1"/>
      <w:numFmt w:val="bullet"/>
      <w:lvlText w:val="o"/>
      <w:lvlJc w:val="left"/>
      <w:pPr>
        <w:ind w:left="1506" w:hanging="360"/>
      </w:pPr>
      <w:rPr>
        <w:rFonts w:ascii="Courier New" w:hAnsi="Courier New" w:cs="Courier New" w:hint="default"/>
      </w:rPr>
    </w:lvl>
    <w:lvl w:ilvl="1" w:tplc="0C0A0003" w:tentative="1">
      <w:start w:val="1"/>
      <w:numFmt w:val="bullet"/>
      <w:lvlText w:val="o"/>
      <w:lvlJc w:val="left"/>
      <w:pPr>
        <w:ind w:left="2226" w:hanging="360"/>
      </w:pPr>
      <w:rPr>
        <w:rFonts w:ascii="Courier New" w:hAnsi="Courier New" w:cs="Courier New" w:hint="default"/>
      </w:rPr>
    </w:lvl>
    <w:lvl w:ilvl="2" w:tplc="0C0A0005" w:tentative="1">
      <w:start w:val="1"/>
      <w:numFmt w:val="bullet"/>
      <w:lvlText w:val=""/>
      <w:lvlJc w:val="left"/>
      <w:pPr>
        <w:ind w:left="2946" w:hanging="360"/>
      </w:pPr>
      <w:rPr>
        <w:rFonts w:ascii="Wingdings" w:hAnsi="Wingdings" w:hint="default"/>
      </w:rPr>
    </w:lvl>
    <w:lvl w:ilvl="3" w:tplc="0C0A0001" w:tentative="1">
      <w:start w:val="1"/>
      <w:numFmt w:val="bullet"/>
      <w:lvlText w:val=""/>
      <w:lvlJc w:val="left"/>
      <w:pPr>
        <w:ind w:left="3666" w:hanging="360"/>
      </w:pPr>
      <w:rPr>
        <w:rFonts w:ascii="Symbol" w:hAnsi="Symbol" w:hint="default"/>
      </w:rPr>
    </w:lvl>
    <w:lvl w:ilvl="4" w:tplc="0C0A0003" w:tentative="1">
      <w:start w:val="1"/>
      <w:numFmt w:val="bullet"/>
      <w:lvlText w:val="o"/>
      <w:lvlJc w:val="left"/>
      <w:pPr>
        <w:ind w:left="4386" w:hanging="360"/>
      </w:pPr>
      <w:rPr>
        <w:rFonts w:ascii="Courier New" w:hAnsi="Courier New" w:cs="Courier New" w:hint="default"/>
      </w:rPr>
    </w:lvl>
    <w:lvl w:ilvl="5" w:tplc="0C0A0005" w:tentative="1">
      <w:start w:val="1"/>
      <w:numFmt w:val="bullet"/>
      <w:lvlText w:val=""/>
      <w:lvlJc w:val="left"/>
      <w:pPr>
        <w:ind w:left="5106" w:hanging="360"/>
      </w:pPr>
      <w:rPr>
        <w:rFonts w:ascii="Wingdings" w:hAnsi="Wingdings" w:hint="default"/>
      </w:rPr>
    </w:lvl>
    <w:lvl w:ilvl="6" w:tplc="0C0A0001" w:tentative="1">
      <w:start w:val="1"/>
      <w:numFmt w:val="bullet"/>
      <w:lvlText w:val=""/>
      <w:lvlJc w:val="left"/>
      <w:pPr>
        <w:ind w:left="5826" w:hanging="360"/>
      </w:pPr>
      <w:rPr>
        <w:rFonts w:ascii="Symbol" w:hAnsi="Symbol" w:hint="default"/>
      </w:rPr>
    </w:lvl>
    <w:lvl w:ilvl="7" w:tplc="0C0A0003" w:tentative="1">
      <w:start w:val="1"/>
      <w:numFmt w:val="bullet"/>
      <w:lvlText w:val="o"/>
      <w:lvlJc w:val="left"/>
      <w:pPr>
        <w:ind w:left="6546" w:hanging="360"/>
      </w:pPr>
      <w:rPr>
        <w:rFonts w:ascii="Courier New" w:hAnsi="Courier New" w:cs="Courier New" w:hint="default"/>
      </w:rPr>
    </w:lvl>
    <w:lvl w:ilvl="8" w:tplc="0C0A0005" w:tentative="1">
      <w:start w:val="1"/>
      <w:numFmt w:val="bullet"/>
      <w:lvlText w:val=""/>
      <w:lvlJc w:val="left"/>
      <w:pPr>
        <w:ind w:left="7266" w:hanging="360"/>
      </w:pPr>
      <w:rPr>
        <w:rFonts w:ascii="Wingdings" w:hAnsi="Wingdings" w:hint="default"/>
      </w:rPr>
    </w:lvl>
  </w:abstractNum>
  <w:abstractNum w:abstractNumId="7">
    <w:nsid w:val="5039701B"/>
    <w:multiLevelType w:val="hybridMultilevel"/>
    <w:tmpl w:val="FA16E9E6"/>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nsid w:val="52DA35F3"/>
    <w:multiLevelType w:val="hybridMultilevel"/>
    <w:tmpl w:val="236A18E0"/>
    <w:lvl w:ilvl="0" w:tplc="0C0A0005">
      <w:start w:val="1"/>
      <w:numFmt w:val="bullet"/>
      <w:lvlText w:val=""/>
      <w:lvlJc w:val="left"/>
      <w:pPr>
        <w:ind w:left="1506" w:hanging="360"/>
      </w:pPr>
      <w:rPr>
        <w:rFonts w:ascii="Wingdings" w:hAnsi="Wingdings" w:hint="default"/>
      </w:rPr>
    </w:lvl>
    <w:lvl w:ilvl="1" w:tplc="0C0A0003" w:tentative="1">
      <w:start w:val="1"/>
      <w:numFmt w:val="bullet"/>
      <w:lvlText w:val="o"/>
      <w:lvlJc w:val="left"/>
      <w:pPr>
        <w:ind w:left="2226" w:hanging="360"/>
      </w:pPr>
      <w:rPr>
        <w:rFonts w:ascii="Courier New" w:hAnsi="Courier New" w:cs="Courier New" w:hint="default"/>
      </w:rPr>
    </w:lvl>
    <w:lvl w:ilvl="2" w:tplc="0C0A0005" w:tentative="1">
      <w:start w:val="1"/>
      <w:numFmt w:val="bullet"/>
      <w:lvlText w:val=""/>
      <w:lvlJc w:val="left"/>
      <w:pPr>
        <w:ind w:left="2946" w:hanging="360"/>
      </w:pPr>
      <w:rPr>
        <w:rFonts w:ascii="Wingdings" w:hAnsi="Wingdings" w:hint="default"/>
      </w:rPr>
    </w:lvl>
    <w:lvl w:ilvl="3" w:tplc="0C0A0001" w:tentative="1">
      <w:start w:val="1"/>
      <w:numFmt w:val="bullet"/>
      <w:lvlText w:val=""/>
      <w:lvlJc w:val="left"/>
      <w:pPr>
        <w:ind w:left="3666" w:hanging="360"/>
      </w:pPr>
      <w:rPr>
        <w:rFonts w:ascii="Symbol" w:hAnsi="Symbol" w:hint="default"/>
      </w:rPr>
    </w:lvl>
    <w:lvl w:ilvl="4" w:tplc="0C0A0003" w:tentative="1">
      <w:start w:val="1"/>
      <w:numFmt w:val="bullet"/>
      <w:lvlText w:val="o"/>
      <w:lvlJc w:val="left"/>
      <w:pPr>
        <w:ind w:left="4386" w:hanging="360"/>
      </w:pPr>
      <w:rPr>
        <w:rFonts w:ascii="Courier New" w:hAnsi="Courier New" w:cs="Courier New" w:hint="default"/>
      </w:rPr>
    </w:lvl>
    <w:lvl w:ilvl="5" w:tplc="0C0A0005" w:tentative="1">
      <w:start w:val="1"/>
      <w:numFmt w:val="bullet"/>
      <w:lvlText w:val=""/>
      <w:lvlJc w:val="left"/>
      <w:pPr>
        <w:ind w:left="5106" w:hanging="360"/>
      </w:pPr>
      <w:rPr>
        <w:rFonts w:ascii="Wingdings" w:hAnsi="Wingdings" w:hint="default"/>
      </w:rPr>
    </w:lvl>
    <w:lvl w:ilvl="6" w:tplc="0C0A0001" w:tentative="1">
      <w:start w:val="1"/>
      <w:numFmt w:val="bullet"/>
      <w:lvlText w:val=""/>
      <w:lvlJc w:val="left"/>
      <w:pPr>
        <w:ind w:left="5826" w:hanging="360"/>
      </w:pPr>
      <w:rPr>
        <w:rFonts w:ascii="Symbol" w:hAnsi="Symbol" w:hint="default"/>
      </w:rPr>
    </w:lvl>
    <w:lvl w:ilvl="7" w:tplc="0C0A0003" w:tentative="1">
      <w:start w:val="1"/>
      <w:numFmt w:val="bullet"/>
      <w:lvlText w:val="o"/>
      <w:lvlJc w:val="left"/>
      <w:pPr>
        <w:ind w:left="6546" w:hanging="360"/>
      </w:pPr>
      <w:rPr>
        <w:rFonts w:ascii="Courier New" w:hAnsi="Courier New" w:cs="Courier New" w:hint="default"/>
      </w:rPr>
    </w:lvl>
    <w:lvl w:ilvl="8" w:tplc="0C0A0005" w:tentative="1">
      <w:start w:val="1"/>
      <w:numFmt w:val="bullet"/>
      <w:lvlText w:val=""/>
      <w:lvlJc w:val="left"/>
      <w:pPr>
        <w:ind w:left="7266" w:hanging="360"/>
      </w:pPr>
      <w:rPr>
        <w:rFonts w:ascii="Wingdings" w:hAnsi="Wingdings" w:hint="default"/>
      </w:rPr>
    </w:lvl>
  </w:abstractNum>
  <w:abstractNum w:abstractNumId="9">
    <w:nsid w:val="748F6EE8"/>
    <w:multiLevelType w:val="hybridMultilevel"/>
    <w:tmpl w:val="FD622EB8"/>
    <w:lvl w:ilvl="0" w:tplc="0C0A0005">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0">
    <w:nsid w:val="773A3E03"/>
    <w:multiLevelType w:val="hybridMultilevel"/>
    <w:tmpl w:val="F0F6C662"/>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0"/>
  </w:num>
  <w:num w:numId="2">
    <w:abstractNumId w:val="10"/>
  </w:num>
  <w:num w:numId="3">
    <w:abstractNumId w:val="7"/>
  </w:num>
  <w:num w:numId="4">
    <w:abstractNumId w:val="2"/>
  </w:num>
  <w:num w:numId="5">
    <w:abstractNumId w:val="5"/>
  </w:num>
  <w:num w:numId="6">
    <w:abstractNumId w:val="9"/>
  </w:num>
  <w:num w:numId="7">
    <w:abstractNumId w:val="1"/>
  </w:num>
  <w:num w:numId="8">
    <w:abstractNumId w:val="4"/>
  </w:num>
  <w:num w:numId="9">
    <w:abstractNumId w:val="3"/>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599"/>
    <w:rsid w:val="00004790"/>
    <w:rsid w:val="0000722B"/>
    <w:rsid w:val="0001487D"/>
    <w:rsid w:val="000218A7"/>
    <w:rsid w:val="00046D44"/>
    <w:rsid w:val="000507AF"/>
    <w:rsid w:val="00055193"/>
    <w:rsid w:val="00055955"/>
    <w:rsid w:val="00064503"/>
    <w:rsid w:val="00070D7B"/>
    <w:rsid w:val="000725D3"/>
    <w:rsid w:val="00074483"/>
    <w:rsid w:val="00077359"/>
    <w:rsid w:val="00081AD1"/>
    <w:rsid w:val="00085C12"/>
    <w:rsid w:val="00090BB0"/>
    <w:rsid w:val="00093C75"/>
    <w:rsid w:val="00094A89"/>
    <w:rsid w:val="000A6D47"/>
    <w:rsid w:val="000A6EFE"/>
    <w:rsid w:val="000B128B"/>
    <w:rsid w:val="000B4043"/>
    <w:rsid w:val="000B686B"/>
    <w:rsid w:val="000D4777"/>
    <w:rsid w:val="000E163E"/>
    <w:rsid w:val="000E2003"/>
    <w:rsid w:val="000E24E8"/>
    <w:rsid w:val="000F1DA7"/>
    <w:rsid w:val="0010130B"/>
    <w:rsid w:val="00106908"/>
    <w:rsid w:val="0011532C"/>
    <w:rsid w:val="0012076A"/>
    <w:rsid w:val="00122850"/>
    <w:rsid w:val="0012353F"/>
    <w:rsid w:val="00123776"/>
    <w:rsid w:val="00140105"/>
    <w:rsid w:val="00162BD4"/>
    <w:rsid w:val="00172F65"/>
    <w:rsid w:val="00173249"/>
    <w:rsid w:val="00183475"/>
    <w:rsid w:val="00187242"/>
    <w:rsid w:val="00190C45"/>
    <w:rsid w:val="00191788"/>
    <w:rsid w:val="00195345"/>
    <w:rsid w:val="001B65A0"/>
    <w:rsid w:val="001D768D"/>
    <w:rsid w:val="001F0AE8"/>
    <w:rsid w:val="001F18B5"/>
    <w:rsid w:val="001F60B6"/>
    <w:rsid w:val="00202BBE"/>
    <w:rsid w:val="0020383E"/>
    <w:rsid w:val="0022169C"/>
    <w:rsid w:val="00226733"/>
    <w:rsid w:val="002334FB"/>
    <w:rsid w:val="00247F9F"/>
    <w:rsid w:val="0026445A"/>
    <w:rsid w:val="00264FE6"/>
    <w:rsid w:val="002655BE"/>
    <w:rsid w:val="00273C95"/>
    <w:rsid w:val="002748A7"/>
    <w:rsid w:val="0027612C"/>
    <w:rsid w:val="00277627"/>
    <w:rsid w:val="00286287"/>
    <w:rsid w:val="00286C91"/>
    <w:rsid w:val="00287406"/>
    <w:rsid w:val="002A1ADA"/>
    <w:rsid w:val="002B24BF"/>
    <w:rsid w:val="002C3354"/>
    <w:rsid w:val="002D6CE0"/>
    <w:rsid w:val="002E0141"/>
    <w:rsid w:val="002E3D44"/>
    <w:rsid w:val="003022EF"/>
    <w:rsid w:val="00306056"/>
    <w:rsid w:val="0031374B"/>
    <w:rsid w:val="00326571"/>
    <w:rsid w:val="00333763"/>
    <w:rsid w:val="003431C8"/>
    <w:rsid w:val="00347641"/>
    <w:rsid w:val="003729DC"/>
    <w:rsid w:val="00377BFD"/>
    <w:rsid w:val="00382B5B"/>
    <w:rsid w:val="00384351"/>
    <w:rsid w:val="003A2C1D"/>
    <w:rsid w:val="003A36B8"/>
    <w:rsid w:val="003A5493"/>
    <w:rsid w:val="003B3FA0"/>
    <w:rsid w:val="003D4E91"/>
    <w:rsid w:val="003E0431"/>
    <w:rsid w:val="003F3E4A"/>
    <w:rsid w:val="004015F0"/>
    <w:rsid w:val="004105C6"/>
    <w:rsid w:val="00416E44"/>
    <w:rsid w:val="004171E5"/>
    <w:rsid w:val="00424122"/>
    <w:rsid w:val="00425194"/>
    <w:rsid w:val="00433104"/>
    <w:rsid w:val="00452FBF"/>
    <w:rsid w:val="00460D1F"/>
    <w:rsid w:val="0046445A"/>
    <w:rsid w:val="004722D5"/>
    <w:rsid w:val="00482A0A"/>
    <w:rsid w:val="0048770D"/>
    <w:rsid w:val="004B1F14"/>
    <w:rsid w:val="004C76DF"/>
    <w:rsid w:val="004E34E8"/>
    <w:rsid w:val="005014DE"/>
    <w:rsid w:val="00502CCF"/>
    <w:rsid w:val="00503331"/>
    <w:rsid w:val="005047FE"/>
    <w:rsid w:val="00517368"/>
    <w:rsid w:val="00525FE6"/>
    <w:rsid w:val="005270C3"/>
    <w:rsid w:val="00531402"/>
    <w:rsid w:val="00533C22"/>
    <w:rsid w:val="00541517"/>
    <w:rsid w:val="00561851"/>
    <w:rsid w:val="00565BB1"/>
    <w:rsid w:val="00570EBA"/>
    <w:rsid w:val="00591C12"/>
    <w:rsid w:val="00591CE7"/>
    <w:rsid w:val="00592215"/>
    <w:rsid w:val="00594ABE"/>
    <w:rsid w:val="005A1F78"/>
    <w:rsid w:val="005A5F81"/>
    <w:rsid w:val="005B7974"/>
    <w:rsid w:val="005C032F"/>
    <w:rsid w:val="005C7A73"/>
    <w:rsid w:val="005D76AA"/>
    <w:rsid w:val="005E0624"/>
    <w:rsid w:val="005E1E26"/>
    <w:rsid w:val="005F081D"/>
    <w:rsid w:val="005F110C"/>
    <w:rsid w:val="005F2FC9"/>
    <w:rsid w:val="00600947"/>
    <w:rsid w:val="006032D4"/>
    <w:rsid w:val="00625167"/>
    <w:rsid w:val="006256A1"/>
    <w:rsid w:val="0063204A"/>
    <w:rsid w:val="00641D40"/>
    <w:rsid w:val="0064433B"/>
    <w:rsid w:val="00660D14"/>
    <w:rsid w:val="006622A5"/>
    <w:rsid w:val="00677B14"/>
    <w:rsid w:val="006958DB"/>
    <w:rsid w:val="00695C58"/>
    <w:rsid w:val="0069616A"/>
    <w:rsid w:val="0069681C"/>
    <w:rsid w:val="006A02CE"/>
    <w:rsid w:val="006A183E"/>
    <w:rsid w:val="006C1ADA"/>
    <w:rsid w:val="006C4406"/>
    <w:rsid w:val="006D7F6B"/>
    <w:rsid w:val="006E0D50"/>
    <w:rsid w:val="006E2A0B"/>
    <w:rsid w:val="006E4407"/>
    <w:rsid w:val="006F0720"/>
    <w:rsid w:val="006F1599"/>
    <w:rsid w:val="006F2D85"/>
    <w:rsid w:val="006F376E"/>
    <w:rsid w:val="007015FF"/>
    <w:rsid w:val="00707016"/>
    <w:rsid w:val="00716F00"/>
    <w:rsid w:val="00717D25"/>
    <w:rsid w:val="0073084C"/>
    <w:rsid w:val="00731030"/>
    <w:rsid w:val="007344D7"/>
    <w:rsid w:val="00737319"/>
    <w:rsid w:val="00746BD5"/>
    <w:rsid w:val="007536C3"/>
    <w:rsid w:val="00753A60"/>
    <w:rsid w:val="0076505F"/>
    <w:rsid w:val="0077413A"/>
    <w:rsid w:val="00786699"/>
    <w:rsid w:val="007A3D6C"/>
    <w:rsid w:val="007A4C82"/>
    <w:rsid w:val="007B08E0"/>
    <w:rsid w:val="007C3A15"/>
    <w:rsid w:val="007D2958"/>
    <w:rsid w:val="007D4708"/>
    <w:rsid w:val="00806846"/>
    <w:rsid w:val="008222AC"/>
    <w:rsid w:val="008274D8"/>
    <w:rsid w:val="00840B45"/>
    <w:rsid w:val="00851169"/>
    <w:rsid w:val="00855FEF"/>
    <w:rsid w:val="008828FA"/>
    <w:rsid w:val="008836D8"/>
    <w:rsid w:val="00891EB9"/>
    <w:rsid w:val="0089418C"/>
    <w:rsid w:val="0089728B"/>
    <w:rsid w:val="008C129D"/>
    <w:rsid w:val="008D4C33"/>
    <w:rsid w:val="008E143A"/>
    <w:rsid w:val="008E2D35"/>
    <w:rsid w:val="008E5F23"/>
    <w:rsid w:val="008E7AAF"/>
    <w:rsid w:val="008F1315"/>
    <w:rsid w:val="00906EF5"/>
    <w:rsid w:val="00920468"/>
    <w:rsid w:val="00923EF1"/>
    <w:rsid w:val="00924E6A"/>
    <w:rsid w:val="0092710E"/>
    <w:rsid w:val="00934ACD"/>
    <w:rsid w:val="00943066"/>
    <w:rsid w:val="00947CA6"/>
    <w:rsid w:val="009508AE"/>
    <w:rsid w:val="00952CB9"/>
    <w:rsid w:val="00962120"/>
    <w:rsid w:val="00964877"/>
    <w:rsid w:val="009704C6"/>
    <w:rsid w:val="00974B32"/>
    <w:rsid w:val="009959FE"/>
    <w:rsid w:val="009A7493"/>
    <w:rsid w:val="009C0390"/>
    <w:rsid w:val="009C4330"/>
    <w:rsid w:val="009D7D21"/>
    <w:rsid w:val="009E04F8"/>
    <w:rsid w:val="009F21D0"/>
    <w:rsid w:val="00A06A74"/>
    <w:rsid w:val="00A153AD"/>
    <w:rsid w:val="00A23C7D"/>
    <w:rsid w:val="00A33934"/>
    <w:rsid w:val="00A347CE"/>
    <w:rsid w:val="00A36B27"/>
    <w:rsid w:val="00A51B0F"/>
    <w:rsid w:val="00A57180"/>
    <w:rsid w:val="00A744E6"/>
    <w:rsid w:val="00A84D47"/>
    <w:rsid w:val="00A870E9"/>
    <w:rsid w:val="00A954F5"/>
    <w:rsid w:val="00AA5A16"/>
    <w:rsid w:val="00AB3ED5"/>
    <w:rsid w:val="00AD3651"/>
    <w:rsid w:val="00AE2FAD"/>
    <w:rsid w:val="00AF6F41"/>
    <w:rsid w:val="00AF7330"/>
    <w:rsid w:val="00B01298"/>
    <w:rsid w:val="00B0534D"/>
    <w:rsid w:val="00B07BC3"/>
    <w:rsid w:val="00B11D9E"/>
    <w:rsid w:val="00B12E0D"/>
    <w:rsid w:val="00B26632"/>
    <w:rsid w:val="00B30CAE"/>
    <w:rsid w:val="00B32B00"/>
    <w:rsid w:val="00B330FA"/>
    <w:rsid w:val="00B4331E"/>
    <w:rsid w:val="00B50C23"/>
    <w:rsid w:val="00B522B6"/>
    <w:rsid w:val="00B55AEC"/>
    <w:rsid w:val="00B560F9"/>
    <w:rsid w:val="00B56B75"/>
    <w:rsid w:val="00B636B4"/>
    <w:rsid w:val="00B7067C"/>
    <w:rsid w:val="00B8002C"/>
    <w:rsid w:val="00B808EA"/>
    <w:rsid w:val="00B83F8E"/>
    <w:rsid w:val="00B864C0"/>
    <w:rsid w:val="00B96BF7"/>
    <w:rsid w:val="00BA3F5E"/>
    <w:rsid w:val="00BA5C6C"/>
    <w:rsid w:val="00BB47F5"/>
    <w:rsid w:val="00BB4E9C"/>
    <w:rsid w:val="00BB78C6"/>
    <w:rsid w:val="00BC02FE"/>
    <w:rsid w:val="00BC2390"/>
    <w:rsid w:val="00BC35E8"/>
    <w:rsid w:val="00BC4612"/>
    <w:rsid w:val="00BD5C8F"/>
    <w:rsid w:val="00BE0DDE"/>
    <w:rsid w:val="00BE3139"/>
    <w:rsid w:val="00BE4020"/>
    <w:rsid w:val="00BE533F"/>
    <w:rsid w:val="00BE5550"/>
    <w:rsid w:val="00BF1814"/>
    <w:rsid w:val="00C011E9"/>
    <w:rsid w:val="00C22CED"/>
    <w:rsid w:val="00C33F8E"/>
    <w:rsid w:val="00C41E28"/>
    <w:rsid w:val="00C434E8"/>
    <w:rsid w:val="00C45E03"/>
    <w:rsid w:val="00C47ACF"/>
    <w:rsid w:val="00C6430F"/>
    <w:rsid w:val="00C6493A"/>
    <w:rsid w:val="00C6659C"/>
    <w:rsid w:val="00C6670D"/>
    <w:rsid w:val="00C85969"/>
    <w:rsid w:val="00CA7931"/>
    <w:rsid w:val="00CD1578"/>
    <w:rsid w:val="00CE55AE"/>
    <w:rsid w:val="00CE6A13"/>
    <w:rsid w:val="00CE7FA3"/>
    <w:rsid w:val="00CF506D"/>
    <w:rsid w:val="00D0138C"/>
    <w:rsid w:val="00D050E3"/>
    <w:rsid w:val="00D06C17"/>
    <w:rsid w:val="00D1226C"/>
    <w:rsid w:val="00D139A2"/>
    <w:rsid w:val="00D16764"/>
    <w:rsid w:val="00D17F3A"/>
    <w:rsid w:val="00D2402F"/>
    <w:rsid w:val="00D32D7F"/>
    <w:rsid w:val="00D340F6"/>
    <w:rsid w:val="00D37867"/>
    <w:rsid w:val="00D73EFB"/>
    <w:rsid w:val="00D8012D"/>
    <w:rsid w:val="00D819FE"/>
    <w:rsid w:val="00D90B39"/>
    <w:rsid w:val="00D9368B"/>
    <w:rsid w:val="00DA02BE"/>
    <w:rsid w:val="00DA0DF8"/>
    <w:rsid w:val="00DA6CCE"/>
    <w:rsid w:val="00DB2988"/>
    <w:rsid w:val="00DB2C44"/>
    <w:rsid w:val="00DB3992"/>
    <w:rsid w:val="00DC45B6"/>
    <w:rsid w:val="00DC4996"/>
    <w:rsid w:val="00DF3ECE"/>
    <w:rsid w:val="00E278F1"/>
    <w:rsid w:val="00E44EC7"/>
    <w:rsid w:val="00E52453"/>
    <w:rsid w:val="00E558B9"/>
    <w:rsid w:val="00E57B3A"/>
    <w:rsid w:val="00E643A6"/>
    <w:rsid w:val="00E66DCA"/>
    <w:rsid w:val="00E73376"/>
    <w:rsid w:val="00E7420F"/>
    <w:rsid w:val="00E753DC"/>
    <w:rsid w:val="00E81C69"/>
    <w:rsid w:val="00E87CD9"/>
    <w:rsid w:val="00EA5905"/>
    <w:rsid w:val="00EB1834"/>
    <w:rsid w:val="00EB35BC"/>
    <w:rsid w:val="00EB4400"/>
    <w:rsid w:val="00EB7E4E"/>
    <w:rsid w:val="00EC5221"/>
    <w:rsid w:val="00EE410C"/>
    <w:rsid w:val="00EE4D4D"/>
    <w:rsid w:val="00EE76FE"/>
    <w:rsid w:val="00EF445D"/>
    <w:rsid w:val="00F00975"/>
    <w:rsid w:val="00F00D75"/>
    <w:rsid w:val="00F06D75"/>
    <w:rsid w:val="00F06F79"/>
    <w:rsid w:val="00F227F3"/>
    <w:rsid w:val="00F26BCE"/>
    <w:rsid w:val="00F34F01"/>
    <w:rsid w:val="00F36D27"/>
    <w:rsid w:val="00F54164"/>
    <w:rsid w:val="00F6732C"/>
    <w:rsid w:val="00F7027F"/>
    <w:rsid w:val="00F74E34"/>
    <w:rsid w:val="00F751C4"/>
    <w:rsid w:val="00F916A3"/>
    <w:rsid w:val="00F91968"/>
    <w:rsid w:val="00FA17CC"/>
    <w:rsid w:val="00FB6149"/>
    <w:rsid w:val="00FC644D"/>
    <w:rsid w:val="00FF1BE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047F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5047FE"/>
    <w:rPr>
      <w:rFonts w:eastAsiaTheme="minorEastAsia"/>
      <w:lang w:eastAsia="es-ES"/>
    </w:rPr>
  </w:style>
  <w:style w:type="paragraph" w:styleId="Textodeglobo">
    <w:name w:val="Balloon Text"/>
    <w:basedOn w:val="Normal"/>
    <w:link w:val="TextodegloboCar"/>
    <w:uiPriority w:val="99"/>
    <w:semiHidden/>
    <w:unhideWhenUsed/>
    <w:rsid w:val="005047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47FE"/>
    <w:rPr>
      <w:rFonts w:ascii="Tahoma" w:hAnsi="Tahoma" w:cs="Tahoma"/>
      <w:sz w:val="16"/>
      <w:szCs w:val="16"/>
    </w:rPr>
  </w:style>
  <w:style w:type="paragraph" w:styleId="Encabezado">
    <w:name w:val="header"/>
    <w:basedOn w:val="Normal"/>
    <w:link w:val="EncabezadoCar"/>
    <w:uiPriority w:val="99"/>
    <w:unhideWhenUsed/>
    <w:rsid w:val="005047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047FE"/>
  </w:style>
  <w:style w:type="paragraph" w:styleId="Piedepgina">
    <w:name w:val="footer"/>
    <w:basedOn w:val="Normal"/>
    <w:link w:val="PiedepginaCar"/>
    <w:uiPriority w:val="99"/>
    <w:unhideWhenUsed/>
    <w:rsid w:val="005047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047FE"/>
  </w:style>
  <w:style w:type="table" w:styleId="Sombreadoclaro-nfasis4">
    <w:name w:val="Light Shading Accent 4"/>
    <w:basedOn w:val="Tablanormal"/>
    <w:uiPriority w:val="60"/>
    <w:rsid w:val="005F081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aclara-nfasis4">
    <w:name w:val="Light List Accent 4"/>
    <w:basedOn w:val="Tablanormal"/>
    <w:uiPriority w:val="61"/>
    <w:rsid w:val="005F081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Prrafodelista">
    <w:name w:val="List Paragraph"/>
    <w:basedOn w:val="Normal"/>
    <w:uiPriority w:val="34"/>
    <w:qFormat/>
    <w:rsid w:val="005F081D"/>
    <w:pPr>
      <w:ind w:left="720"/>
      <w:contextualSpacing/>
    </w:pPr>
  </w:style>
  <w:style w:type="character" w:customStyle="1" w:styleId="apple-converted-space">
    <w:name w:val="apple-converted-space"/>
    <w:basedOn w:val="Fuentedeprrafopredeter"/>
    <w:rsid w:val="00B07BC3"/>
  </w:style>
  <w:style w:type="table" w:styleId="Sombreadomedio1-nfasis4">
    <w:name w:val="Medium Shading 1 Accent 4"/>
    <w:basedOn w:val="Tablanormal"/>
    <w:uiPriority w:val="63"/>
    <w:rsid w:val="00FA17C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047F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5047FE"/>
    <w:rPr>
      <w:rFonts w:eastAsiaTheme="minorEastAsia"/>
      <w:lang w:eastAsia="es-ES"/>
    </w:rPr>
  </w:style>
  <w:style w:type="paragraph" w:styleId="Textodeglobo">
    <w:name w:val="Balloon Text"/>
    <w:basedOn w:val="Normal"/>
    <w:link w:val="TextodegloboCar"/>
    <w:uiPriority w:val="99"/>
    <w:semiHidden/>
    <w:unhideWhenUsed/>
    <w:rsid w:val="005047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47FE"/>
    <w:rPr>
      <w:rFonts w:ascii="Tahoma" w:hAnsi="Tahoma" w:cs="Tahoma"/>
      <w:sz w:val="16"/>
      <w:szCs w:val="16"/>
    </w:rPr>
  </w:style>
  <w:style w:type="paragraph" w:styleId="Encabezado">
    <w:name w:val="header"/>
    <w:basedOn w:val="Normal"/>
    <w:link w:val="EncabezadoCar"/>
    <w:uiPriority w:val="99"/>
    <w:unhideWhenUsed/>
    <w:rsid w:val="005047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047FE"/>
  </w:style>
  <w:style w:type="paragraph" w:styleId="Piedepgina">
    <w:name w:val="footer"/>
    <w:basedOn w:val="Normal"/>
    <w:link w:val="PiedepginaCar"/>
    <w:uiPriority w:val="99"/>
    <w:unhideWhenUsed/>
    <w:rsid w:val="005047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047FE"/>
  </w:style>
  <w:style w:type="table" w:styleId="Sombreadoclaro-nfasis4">
    <w:name w:val="Light Shading Accent 4"/>
    <w:basedOn w:val="Tablanormal"/>
    <w:uiPriority w:val="60"/>
    <w:rsid w:val="005F081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aclara-nfasis4">
    <w:name w:val="Light List Accent 4"/>
    <w:basedOn w:val="Tablanormal"/>
    <w:uiPriority w:val="61"/>
    <w:rsid w:val="005F081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Prrafodelista">
    <w:name w:val="List Paragraph"/>
    <w:basedOn w:val="Normal"/>
    <w:uiPriority w:val="34"/>
    <w:qFormat/>
    <w:rsid w:val="005F081D"/>
    <w:pPr>
      <w:ind w:left="720"/>
      <w:contextualSpacing/>
    </w:pPr>
  </w:style>
  <w:style w:type="character" w:customStyle="1" w:styleId="apple-converted-space">
    <w:name w:val="apple-converted-space"/>
    <w:basedOn w:val="Fuentedeprrafopredeter"/>
    <w:rsid w:val="00B07BC3"/>
  </w:style>
  <w:style w:type="table" w:styleId="Sombreadomedio1-nfasis4">
    <w:name w:val="Medium Shading 1 Accent 4"/>
    <w:basedOn w:val="Tablanormal"/>
    <w:uiPriority w:val="63"/>
    <w:rsid w:val="00FA17C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48461">
      <w:bodyDiv w:val="1"/>
      <w:marLeft w:val="0"/>
      <w:marRight w:val="0"/>
      <w:marTop w:val="0"/>
      <w:marBottom w:val="0"/>
      <w:divBdr>
        <w:top w:val="none" w:sz="0" w:space="0" w:color="auto"/>
        <w:left w:val="none" w:sz="0" w:space="0" w:color="auto"/>
        <w:bottom w:val="none" w:sz="0" w:space="0" w:color="auto"/>
        <w:right w:val="none" w:sz="0" w:space="0" w:color="auto"/>
      </w:divBdr>
    </w:div>
    <w:div w:id="151795051">
      <w:bodyDiv w:val="1"/>
      <w:marLeft w:val="0"/>
      <w:marRight w:val="0"/>
      <w:marTop w:val="0"/>
      <w:marBottom w:val="0"/>
      <w:divBdr>
        <w:top w:val="none" w:sz="0" w:space="0" w:color="auto"/>
        <w:left w:val="none" w:sz="0" w:space="0" w:color="auto"/>
        <w:bottom w:val="none" w:sz="0" w:space="0" w:color="auto"/>
        <w:right w:val="none" w:sz="0" w:space="0" w:color="auto"/>
      </w:divBdr>
    </w:div>
    <w:div w:id="195049986">
      <w:bodyDiv w:val="1"/>
      <w:marLeft w:val="0"/>
      <w:marRight w:val="0"/>
      <w:marTop w:val="0"/>
      <w:marBottom w:val="0"/>
      <w:divBdr>
        <w:top w:val="none" w:sz="0" w:space="0" w:color="auto"/>
        <w:left w:val="none" w:sz="0" w:space="0" w:color="auto"/>
        <w:bottom w:val="none" w:sz="0" w:space="0" w:color="auto"/>
        <w:right w:val="none" w:sz="0" w:space="0" w:color="auto"/>
      </w:divBdr>
    </w:div>
    <w:div w:id="196045103">
      <w:bodyDiv w:val="1"/>
      <w:marLeft w:val="0"/>
      <w:marRight w:val="0"/>
      <w:marTop w:val="0"/>
      <w:marBottom w:val="0"/>
      <w:divBdr>
        <w:top w:val="none" w:sz="0" w:space="0" w:color="auto"/>
        <w:left w:val="none" w:sz="0" w:space="0" w:color="auto"/>
        <w:bottom w:val="none" w:sz="0" w:space="0" w:color="auto"/>
        <w:right w:val="none" w:sz="0" w:space="0" w:color="auto"/>
      </w:divBdr>
    </w:div>
    <w:div w:id="225607219">
      <w:bodyDiv w:val="1"/>
      <w:marLeft w:val="0"/>
      <w:marRight w:val="0"/>
      <w:marTop w:val="0"/>
      <w:marBottom w:val="0"/>
      <w:divBdr>
        <w:top w:val="none" w:sz="0" w:space="0" w:color="auto"/>
        <w:left w:val="none" w:sz="0" w:space="0" w:color="auto"/>
        <w:bottom w:val="none" w:sz="0" w:space="0" w:color="auto"/>
        <w:right w:val="none" w:sz="0" w:space="0" w:color="auto"/>
      </w:divBdr>
    </w:div>
    <w:div w:id="248002257">
      <w:bodyDiv w:val="1"/>
      <w:marLeft w:val="0"/>
      <w:marRight w:val="0"/>
      <w:marTop w:val="0"/>
      <w:marBottom w:val="0"/>
      <w:divBdr>
        <w:top w:val="none" w:sz="0" w:space="0" w:color="auto"/>
        <w:left w:val="none" w:sz="0" w:space="0" w:color="auto"/>
        <w:bottom w:val="none" w:sz="0" w:space="0" w:color="auto"/>
        <w:right w:val="none" w:sz="0" w:space="0" w:color="auto"/>
      </w:divBdr>
    </w:div>
    <w:div w:id="249776235">
      <w:bodyDiv w:val="1"/>
      <w:marLeft w:val="0"/>
      <w:marRight w:val="0"/>
      <w:marTop w:val="0"/>
      <w:marBottom w:val="0"/>
      <w:divBdr>
        <w:top w:val="none" w:sz="0" w:space="0" w:color="auto"/>
        <w:left w:val="none" w:sz="0" w:space="0" w:color="auto"/>
        <w:bottom w:val="none" w:sz="0" w:space="0" w:color="auto"/>
        <w:right w:val="none" w:sz="0" w:space="0" w:color="auto"/>
      </w:divBdr>
    </w:div>
    <w:div w:id="301152432">
      <w:bodyDiv w:val="1"/>
      <w:marLeft w:val="0"/>
      <w:marRight w:val="0"/>
      <w:marTop w:val="0"/>
      <w:marBottom w:val="0"/>
      <w:divBdr>
        <w:top w:val="none" w:sz="0" w:space="0" w:color="auto"/>
        <w:left w:val="none" w:sz="0" w:space="0" w:color="auto"/>
        <w:bottom w:val="none" w:sz="0" w:space="0" w:color="auto"/>
        <w:right w:val="none" w:sz="0" w:space="0" w:color="auto"/>
      </w:divBdr>
    </w:div>
    <w:div w:id="304967635">
      <w:bodyDiv w:val="1"/>
      <w:marLeft w:val="0"/>
      <w:marRight w:val="0"/>
      <w:marTop w:val="0"/>
      <w:marBottom w:val="0"/>
      <w:divBdr>
        <w:top w:val="none" w:sz="0" w:space="0" w:color="auto"/>
        <w:left w:val="none" w:sz="0" w:space="0" w:color="auto"/>
        <w:bottom w:val="none" w:sz="0" w:space="0" w:color="auto"/>
        <w:right w:val="none" w:sz="0" w:space="0" w:color="auto"/>
      </w:divBdr>
    </w:div>
    <w:div w:id="356587471">
      <w:bodyDiv w:val="1"/>
      <w:marLeft w:val="0"/>
      <w:marRight w:val="0"/>
      <w:marTop w:val="0"/>
      <w:marBottom w:val="0"/>
      <w:divBdr>
        <w:top w:val="none" w:sz="0" w:space="0" w:color="auto"/>
        <w:left w:val="none" w:sz="0" w:space="0" w:color="auto"/>
        <w:bottom w:val="none" w:sz="0" w:space="0" w:color="auto"/>
        <w:right w:val="none" w:sz="0" w:space="0" w:color="auto"/>
      </w:divBdr>
    </w:div>
    <w:div w:id="432476750">
      <w:bodyDiv w:val="1"/>
      <w:marLeft w:val="0"/>
      <w:marRight w:val="0"/>
      <w:marTop w:val="0"/>
      <w:marBottom w:val="0"/>
      <w:divBdr>
        <w:top w:val="none" w:sz="0" w:space="0" w:color="auto"/>
        <w:left w:val="none" w:sz="0" w:space="0" w:color="auto"/>
        <w:bottom w:val="none" w:sz="0" w:space="0" w:color="auto"/>
        <w:right w:val="none" w:sz="0" w:space="0" w:color="auto"/>
      </w:divBdr>
    </w:div>
    <w:div w:id="435834311">
      <w:bodyDiv w:val="1"/>
      <w:marLeft w:val="0"/>
      <w:marRight w:val="0"/>
      <w:marTop w:val="0"/>
      <w:marBottom w:val="0"/>
      <w:divBdr>
        <w:top w:val="none" w:sz="0" w:space="0" w:color="auto"/>
        <w:left w:val="none" w:sz="0" w:space="0" w:color="auto"/>
        <w:bottom w:val="none" w:sz="0" w:space="0" w:color="auto"/>
        <w:right w:val="none" w:sz="0" w:space="0" w:color="auto"/>
      </w:divBdr>
    </w:div>
    <w:div w:id="439228292">
      <w:bodyDiv w:val="1"/>
      <w:marLeft w:val="0"/>
      <w:marRight w:val="0"/>
      <w:marTop w:val="0"/>
      <w:marBottom w:val="0"/>
      <w:divBdr>
        <w:top w:val="none" w:sz="0" w:space="0" w:color="auto"/>
        <w:left w:val="none" w:sz="0" w:space="0" w:color="auto"/>
        <w:bottom w:val="none" w:sz="0" w:space="0" w:color="auto"/>
        <w:right w:val="none" w:sz="0" w:space="0" w:color="auto"/>
      </w:divBdr>
    </w:div>
    <w:div w:id="521937452">
      <w:bodyDiv w:val="1"/>
      <w:marLeft w:val="0"/>
      <w:marRight w:val="0"/>
      <w:marTop w:val="0"/>
      <w:marBottom w:val="0"/>
      <w:divBdr>
        <w:top w:val="none" w:sz="0" w:space="0" w:color="auto"/>
        <w:left w:val="none" w:sz="0" w:space="0" w:color="auto"/>
        <w:bottom w:val="none" w:sz="0" w:space="0" w:color="auto"/>
        <w:right w:val="none" w:sz="0" w:space="0" w:color="auto"/>
      </w:divBdr>
    </w:div>
    <w:div w:id="529420746">
      <w:bodyDiv w:val="1"/>
      <w:marLeft w:val="0"/>
      <w:marRight w:val="0"/>
      <w:marTop w:val="0"/>
      <w:marBottom w:val="0"/>
      <w:divBdr>
        <w:top w:val="none" w:sz="0" w:space="0" w:color="auto"/>
        <w:left w:val="none" w:sz="0" w:space="0" w:color="auto"/>
        <w:bottom w:val="none" w:sz="0" w:space="0" w:color="auto"/>
        <w:right w:val="none" w:sz="0" w:space="0" w:color="auto"/>
      </w:divBdr>
    </w:div>
    <w:div w:id="541482422">
      <w:bodyDiv w:val="1"/>
      <w:marLeft w:val="0"/>
      <w:marRight w:val="0"/>
      <w:marTop w:val="0"/>
      <w:marBottom w:val="0"/>
      <w:divBdr>
        <w:top w:val="none" w:sz="0" w:space="0" w:color="auto"/>
        <w:left w:val="none" w:sz="0" w:space="0" w:color="auto"/>
        <w:bottom w:val="none" w:sz="0" w:space="0" w:color="auto"/>
        <w:right w:val="none" w:sz="0" w:space="0" w:color="auto"/>
      </w:divBdr>
    </w:div>
    <w:div w:id="583300093">
      <w:bodyDiv w:val="1"/>
      <w:marLeft w:val="0"/>
      <w:marRight w:val="0"/>
      <w:marTop w:val="0"/>
      <w:marBottom w:val="0"/>
      <w:divBdr>
        <w:top w:val="none" w:sz="0" w:space="0" w:color="auto"/>
        <w:left w:val="none" w:sz="0" w:space="0" w:color="auto"/>
        <w:bottom w:val="none" w:sz="0" w:space="0" w:color="auto"/>
        <w:right w:val="none" w:sz="0" w:space="0" w:color="auto"/>
      </w:divBdr>
    </w:div>
    <w:div w:id="626401077">
      <w:bodyDiv w:val="1"/>
      <w:marLeft w:val="0"/>
      <w:marRight w:val="0"/>
      <w:marTop w:val="0"/>
      <w:marBottom w:val="0"/>
      <w:divBdr>
        <w:top w:val="none" w:sz="0" w:space="0" w:color="auto"/>
        <w:left w:val="none" w:sz="0" w:space="0" w:color="auto"/>
        <w:bottom w:val="none" w:sz="0" w:space="0" w:color="auto"/>
        <w:right w:val="none" w:sz="0" w:space="0" w:color="auto"/>
      </w:divBdr>
    </w:div>
    <w:div w:id="640305985">
      <w:bodyDiv w:val="1"/>
      <w:marLeft w:val="0"/>
      <w:marRight w:val="0"/>
      <w:marTop w:val="0"/>
      <w:marBottom w:val="0"/>
      <w:divBdr>
        <w:top w:val="none" w:sz="0" w:space="0" w:color="auto"/>
        <w:left w:val="none" w:sz="0" w:space="0" w:color="auto"/>
        <w:bottom w:val="none" w:sz="0" w:space="0" w:color="auto"/>
        <w:right w:val="none" w:sz="0" w:space="0" w:color="auto"/>
      </w:divBdr>
    </w:div>
    <w:div w:id="685139414">
      <w:bodyDiv w:val="1"/>
      <w:marLeft w:val="0"/>
      <w:marRight w:val="0"/>
      <w:marTop w:val="0"/>
      <w:marBottom w:val="0"/>
      <w:divBdr>
        <w:top w:val="none" w:sz="0" w:space="0" w:color="auto"/>
        <w:left w:val="none" w:sz="0" w:space="0" w:color="auto"/>
        <w:bottom w:val="none" w:sz="0" w:space="0" w:color="auto"/>
        <w:right w:val="none" w:sz="0" w:space="0" w:color="auto"/>
      </w:divBdr>
    </w:div>
    <w:div w:id="699939132">
      <w:bodyDiv w:val="1"/>
      <w:marLeft w:val="0"/>
      <w:marRight w:val="0"/>
      <w:marTop w:val="0"/>
      <w:marBottom w:val="0"/>
      <w:divBdr>
        <w:top w:val="none" w:sz="0" w:space="0" w:color="auto"/>
        <w:left w:val="none" w:sz="0" w:space="0" w:color="auto"/>
        <w:bottom w:val="none" w:sz="0" w:space="0" w:color="auto"/>
        <w:right w:val="none" w:sz="0" w:space="0" w:color="auto"/>
      </w:divBdr>
    </w:div>
    <w:div w:id="800730298">
      <w:bodyDiv w:val="1"/>
      <w:marLeft w:val="0"/>
      <w:marRight w:val="0"/>
      <w:marTop w:val="0"/>
      <w:marBottom w:val="0"/>
      <w:divBdr>
        <w:top w:val="none" w:sz="0" w:space="0" w:color="auto"/>
        <w:left w:val="none" w:sz="0" w:space="0" w:color="auto"/>
        <w:bottom w:val="none" w:sz="0" w:space="0" w:color="auto"/>
        <w:right w:val="none" w:sz="0" w:space="0" w:color="auto"/>
      </w:divBdr>
    </w:div>
    <w:div w:id="820930821">
      <w:bodyDiv w:val="1"/>
      <w:marLeft w:val="0"/>
      <w:marRight w:val="0"/>
      <w:marTop w:val="0"/>
      <w:marBottom w:val="0"/>
      <w:divBdr>
        <w:top w:val="none" w:sz="0" w:space="0" w:color="auto"/>
        <w:left w:val="none" w:sz="0" w:space="0" w:color="auto"/>
        <w:bottom w:val="none" w:sz="0" w:space="0" w:color="auto"/>
        <w:right w:val="none" w:sz="0" w:space="0" w:color="auto"/>
      </w:divBdr>
    </w:div>
    <w:div w:id="838928568">
      <w:bodyDiv w:val="1"/>
      <w:marLeft w:val="0"/>
      <w:marRight w:val="0"/>
      <w:marTop w:val="0"/>
      <w:marBottom w:val="0"/>
      <w:divBdr>
        <w:top w:val="none" w:sz="0" w:space="0" w:color="auto"/>
        <w:left w:val="none" w:sz="0" w:space="0" w:color="auto"/>
        <w:bottom w:val="none" w:sz="0" w:space="0" w:color="auto"/>
        <w:right w:val="none" w:sz="0" w:space="0" w:color="auto"/>
      </w:divBdr>
    </w:div>
    <w:div w:id="867107794">
      <w:bodyDiv w:val="1"/>
      <w:marLeft w:val="0"/>
      <w:marRight w:val="0"/>
      <w:marTop w:val="0"/>
      <w:marBottom w:val="0"/>
      <w:divBdr>
        <w:top w:val="none" w:sz="0" w:space="0" w:color="auto"/>
        <w:left w:val="none" w:sz="0" w:space="0" w:color="auto"/>
        <w:bottom w:val="none" w:sz="0" w:space="0" w:color="auto"/>
        <w:right w:val="none" w:sz="0" w:space="0" w:color="auto"/>
      </w:divBdr>
    </w:div>
    <w:div w:id="880559217">
      <w:bodyDiv w:val="1"/>
      <w:marLeft w:val="0"/>
      <w:marRight w:val="0"/>
      <w:marTop w:val="0"/>
      <w:marBottom w:val="0"/>
      <w:divBdr>
        <w:top w:val="none" w:sz="0" w:space="0" w:color="auto"/>
        <w:left w:val="none" w:sz="0" w:space="0" w:color="auto"/>
        <w:bottom w:val="none" w:sz="0" w:space="0" w:color="auto"/>
        <w:right w:val="none" w:sz="0" w:space="0" w:color="auto"/>
      </w:divBdr>
    </w:div>
    <w:div w:id="892469666">
      <w:bodyDiv w:val="1"/>
      <w:marLeft w:val="0"/>
      <w:marRight w:val="0"/>
      <w:marTop w:val="0"/>
      <w:marBottom w:val="0"/>
      <w:divBdr>
        <w:top w:val="none" w:sz="0" w:space="0" w:color="auto"/>
        <w:left w:val="none" w:sz="0" w:space="0" w:color="auto"/>
        <w:bottom w:val="none" w:sz="0" w:space="0" w:color="auto"/>
        <w:right w:val="none" w:sz="0" w:space="0" w:color="auto"/>
      </w:divBdr>
    </w:div>
    <w:div w:id="916787468">
      <w:bodyDiv w:val="1"/>
      <w:marLeft w:val="0"/>
      <w:marRight w:val="0"/>
      <w:marTop w:val="0"/>
      <w:marBottom w:val="0"/>
      <w:divBdr>
        <w:top w:val="none" w:sz="0" w:space="0" w:color="auto"/>
        <w:left w:val="none" w:sz="0" w:space="0" w:color="auto"/>
        <w:bottom w:val="none" w:sz="0" w:space="0" w:color="auto"/>
        <w:right w:val="none" w:sz="0" w:space="0" w:color="auto"/>
      </w:divBdr>
    </w:div>
    <w:div w:id="949124126">
      <w:bodyDiv w:val="1"/>
      <w:marLeft w:val="0"/>
      <w:marRight w:val="0"/>
      <w:marTop w:val="0"/>
      <w:marBottom w:val="0"/>
      <w:divBdr>
        <w:top w:val="none" w:sz="0" w:space="0" w:color="auto"/>
        <w:left w:val="none" w:sz="0" w:space="0" w:color="auto"/>
        <w:bottom w:val="none" w:sz="0" w:space="0" w:color="auto"/>
        <w:right w:val="none" w:sz="0" w:space="0" w:color="auto"/>
      </w:divBdr>
    </w:div>
    <w:div w:id="962492474">
      <w:bodyDiv w:val="1"/>
      <w:marLeft w:val="0"/>
      <w:marRight w:val="0"/>
      <w:marTop w:val="0"/>
      <w:marBottom w:val="0"/>
      <w:divBdr>
        <w:top w:val="none" w:sz="0" w:space="0" w:color="auto"/>
        <w:left w:val="none" w:sz="0" w:space="0" w:color="auto"/>
        <w:bottom w:val="none" w:sz="0" w:space="0" w:color="auto"/>
        <w:right w:val="none" w:sz="0" w:space="0" w:color="auto"/>
      </w:divBdr>
    </w:div>
    <w:div w:id="1007176460">
      <w:bodyDiv w:val="1"/>
      <w:marLeft w:val="0"/>
      <w:marRight w:val="0"/>
      <w:marTop w:val="0"/>
      <w:marBottom w:val="0"/>
      <w:divBdr>
        <w:top w:val="none" w:sz="0" w:space="0" w:color="auto"/>
        <w:left w:val="none" w:sz="0" w:space="0" w:color="auto"/>
        <w:bottom w:val="none" w:sz="0" w:space="0" w:color="auto"/>
        <w:right w:val="none" w:sz="0" w:space="0" w:color="auto"/>
      </w:divBdr>
    </w:div>
    <w:div w:id="1028287974">
      <w:bodyDiv w:val="1"/>
      <w:marLeft w:val="0"/>
      <w:marRight w:val="0"/>
      <w:marTop w:val="0"/>
      <w:marBottom w:val="0"/>
      <w:divBdr>
        <w:top w:val="none" w:sz="0" w:space="0" w:color="auto"/>
        <w:left w:val="none" w:sz="0" w:space="0" w:color="auto"/>
        <w:bottom w:val="none" w:sz="0" w:space="0" w:color="auto"/>
        <w:right w:val="none" w:sz="0" w:space="0" w:color="auto"/>
      </w:divBdr>
    </w:div>
    <w:div w:id="1065642855">
      <w:bodyDiv w:val="1"/>
      <w:marLeft w:val="0"/>
      <w:marRight w:val="0"/>
      <w:marTop w:val="0"/>
      <w:marBottom w:val="0"/>
      <w:divBdr>
        <w:top w:val="none" w:sz="0" w:space="0" w:color="auto"/>
        <w:left w:val="none" w:sz="0" w:space="0" w:color="auto"/>
        <w:bottom w:val="none" w:sz="0" w:space="0" w:color="auto"/>
        <w:right w:val="none" w:sz="0" w:space="0" w:color="auto"/>
      </w:divBdr>
    </w:div>
    <w:div w:id="1089275222">
      <w:bodyDiv w:val="1"/>
      <w:marLeft w:val="0"/>
      <w:marRight w:val="0"/>
      <w:marTop w:val="0"/>
      <w:marBottom w:val="0"/>
      <w:divBdr>
        <w:top w:val="none" w:sz="0" w:space="0" w:color="auto"/>
        <w:left w:val="none" w:sz="0" w:space="0" w:color="auto"/>
        <w:bottom w:val="none" w:sz="0" w:space="0" w:color="auto"/>
        <w:right w:val="none" w:sz="0" w:space="0" w:color="auto"/>
      </w:divBdr>
    </w:div>
    <w:div w:id="1142581482">
      <w:bodyDiv w:val="1"/>
      <w:marLeft w:val="0"/>
      <w:marRight w:val="0"/>
      <w:marTop w:val="0"/>
      <w:marBottom w:val="0"/>
      <w:divBdr>
        <w:top w:val="none" w:sz="0" w:space="0" w:color="auto"/>
        <w:left w:val="none" w:sz="0" w:space="0" w:color="auto"/>
        <w:bottom w:val="none" w:sz="0" w:space="0" w:color="auto"/>
        <w:right w:val="none" w:sz="0" w:space="0" w:color="auto"/>
      </w:divBdr>
    </w:div>
    <w:div w:id="1186796547">
      <w:bodyDiv w:val="1"/>
      <w:marLeft w:val="0"/>
      <w:marRight w:val="0"/>
      <w:marTop w:val="0"/>
      <w:marBottom w:val="0"/>
      <w:divBdr>
        <w:top w:val="none" w:sz="0" w:space="0" w:color="auto"/>
        <w:left w:val="none" w:sz="0" w:space="0" w:color="auto"/>
        <w:bottom w:val="none" w:sz="0" w:space="0" w:color="auto"/>
        <w:right w:val="none" w:sz="0" w:space="0" w:color="auto"/>
      </w:divBdr>
    </w:div>
    <w:div w:id="1225531140">
      <w:bodyDiv w:val="1"/>
      <w:marLeft w:val="0"/>
      <w:marRight w:val="0"/>
      <w:marTop w:val="0"/>
      <w:marBottom w:val="0"/>
      <w:divBdr>
        <w:top w:val="none" w:sz="0" w:space="0" w:color="auto"/>
        <w:left w:val="none" w:sz="0" w:space="0" w:color="auto"/>
        <w:bottom w:val="none" w:sz="0" w:space="0" w:color="auto"/>
        <w:right w:val="none" w:sz="0" w:space="0" w:color="auto"/>
      </w:divBdr>
    </w:div>
    <w:div w:id="1243292502">
      <w:bodyDiv w:val="1"/>
      <w:marLeft w:val="0"/>
      <w:marRight w:val="0"/>
      <w:marTop w:val="0"/>
      <w:marBottom w:val="0"/>
      <w:divBdr>
        <w:top w:val="none" w:sz="0" w:space="0" w:color="auto"/>
        <w:left w:val="none" w:sz="0" w:space="0" w:color="auto"/>
        <w:bottom w:val="none" w:sz="0" w:space="0" w:color="auto"/>
        <w:right w:val="none" w:sz="0" w:space="0" w:color="auto"/>
      </w:divBdr>
    </w:div>
    <w:div w:id="1243295183">
      <w:bodyDiv w:val="1"/>
      <w:marLeft w:val="0"/>
      <w:marRight w:val="0"/>
      <w:marTop w:val="0"/>
      <w:marBottom w:val="0"/>
      <w:divBdr>
        <w:top w:val="none" w:sz="0" w:space="0" w:color="auto"/>
        <w:left w:val="none" w:sz="0" w:space="0" w:color="auto"/>
        <w:bottom w:val="none" w:sz="0" w:space="0" w:color="auto"/>
        <w:right w:val="none" w:sz="0" w:space="0" w:color="auto"/>
      </w:divBdr>
    </w:div>
    <w:div w:id="1274747791">
      <w:bodyDiv w:val="1"/>
      <w:marLeft w:val="0"/>
      <w:marRight w:val="0"/>
      <w:marTop w:val="0"/>
      <w:marBottom w:val="0"/>
      <w:divBdr>
        <w:top w:val="none" w:sz="0" w:space="0" w:color="auto"/>
        <w:left w:val="none" w:sz="0" w:space="0" w:color="auto"/>
        <w:bottom w:val="none" w:sz="0" w:space="0" w:color="auto"/>
        <w:right w:val="none" w:sz="0" w:space="0" w:color="auto"/>
      </w:divBdr>
    </w:div>
    <w:div w:id="1305354285">
      <w:bodyDiv w:val="1"/>
      <w:marLeft w:val="0"/>
      <w:marRight w:val="0"/>
      <w:marTop w:val="0"/>
      <w:marBottom w:val="0"/>
      <w:divBdr>
        <w:top w:val="none" w:sz="0" w:space="0" w:color="auto"/>
        <w:left w:val="none" w:sz="0" w:space="0" w:color="auto"/>
        <w:bottom w:val="none" w:sz="0" w:space="0" w:color="auto"/>
        <w:right w:val="none" w:sz="0" w:space="0" w:color="auto"/>
      </w:divBdr>
    </w:div>
    <w:div w:id="1315719825">
      <w:bodyDiv w:val="1"/>
      <w:marLeft w:val="0"/>
      <w:marRight w:val="0"/>
      <w:marTop w:val="0"/>
      <w:marBottom w:val="0"/>
      <w:divBdr>
        <w:top w:val="none" w:sz="0" w:space="0" w:color="auto"/>
        <w:left w:val="none" w:sz="0" w:space="0" w:color="auto"/>
        <w:bottom w:val="none" w:sz="0" w:space="0" w:color="auto"/>
        <w:right w:val="none" w:sz="0" w:space="0" w:color="auto"/>
      </w:divBdr>
    </w:div>
    <w:div w:id="1332753439">
      <w:bodyDiv w:val="1"/>
      <w:marLeft w:val="0"/>
      <w:marRight w:val="0"/>
      <w:marTop w:val="0"/>
      <w:marBottom w:val="0"/>
      <w:divBdr>
        <w:top w:val="none" w:sz="0" w:space="0" w:color="auto"/>
        <w:left w:val="none" w:sz="0" w:space="0" w:color="auto"/>
        <w:bottom w:val="none" w:sz="0" w:space="0" w:color="auto"/>
        <w:right w:val="none" w:sz="0" w:space="0" w:color="auto"/>
      </w:divBdr>
    </w:div>
    <w:div w:id="1387413962">
      <w:bodyDiv w:val="1"/>
      <w:marLeft w:val="0"/>
      <w:marRight w:val="0"/>
      <w:marTop w:val="0"/>
      <w:marBottom w:val="0"/>
      <w:divBdr>
        <w:top w:val="none" w:sz="0" w:space="0" w:color="auto"/>
        <w:left w:val="none" w:sz="0" w:space="0" w:color="auto"/>
        <w:bottom w:val="none" w:sz="0" w:space="0" w:color="auto"/>
        <w:right w:val="none" w:sz="0" w:space="0" w:color="auto"/>
      </w:divBdr>
    </w:div>
    <w:div w:id="1393457259">
      <w:bodyDiv w:val="1"/>
      <w:marLeft w:val="0"/>
      <w:marRight w:val="0"/>
      <w:marTop w:val="0"/>
      <w:marBottom w:val="0"/>
      <w:divBdr>
        <w:top w:val="none" w:sz="0" w:space="0" w:color="auto"/>
        <w:left w:val="none" w:sz="0" w:space="0" w:color="auto"/>
        <w:bottom w:val="none" w:sz="0" w:space="0" w:color="auto"/>
        <w:right w:val="none" w:sz="0" w:space="0" w:color="auto"/>
      </w:divBdr>
    </w:div>
    <w:div w:id="1401633157">
      <w:bodyDiv w:val="1"/>
      <w:marLeft w:val="0"/>
      <w:marRight w:val="0"/>
      <w:marTop w:val="0"/>
      <w:marBottom w:val="0"/>
      <w:divBdr>
        <w:top w:val="none" w:sz="0" w:space="0" w:color="auto"/>
        <w:left w:val="none" w:sz="0" w:space="0" w:color="auto"/>
        <w:bottom w:val="none" w:sz="0" w:space="0" w:color="auto"/>
        <w:right w:val="none" w:sz="0" w:space="0" w:color="auto"/>
      </w:divBdr>
    </w:div>
    <w:div w:id="1403404582">
      <w:bodyDiv w:val="1"/>
      <w:marLeft w:val="0"/>
      <w:marRight w:val="0"/>
      <w:marTop w:val="0"/>
      <w:marBottom w:val="0"/>
      <w:divBdr>
        <w:top w:val="none" w:sz="0" w:space="0" w:color="auto"/>
        <w:left w:val="none" w:sz="0" w:space="0" w:color="auto"/>
        <w:bottom w:val="none" w:sz="0" w:space="0" w:color="auto"/>
        <w:right w:val="none" w:sz="0" w:space="0" w:color="auto"/>
      </w:divBdr>
    </w:div>
    <w:div w:id="1422871577">
      <w:bodyDiv w:val="1"/>
      <w:marLeft w:val="0"/>
      <w:marRight w:val="0"/>
      <w:marTop w:val="0"/>
      <w:marBottom w:val="0"/>
      <w:divBdr>
        <w:top w:val="none" w:sz="0" w:space="0" w:color="auto"/>
        <w:left w:val="none" w:sz="0" w:space="0" w:color="auto"/>
        <w:bottom w:val="none" w:sz="0" w:space="0" w:color="auto"/>
        <w:right w:val="none" w:sz="0" w:space="0" w:color="auto"/>
      </w:divBdr>
    </w:div>
    <w:div w:id="1456097464">
      <w:bodyDiv w:val="1"/>
      <w:marLeft w:val="0"/>
      <w:marRight w:val="0"/>
      <w:marTop w:val="0"/>
      <w:marBottom w:val="0"/>
      <w:divBdr>
        <w:top w:val="none" w:sz="0" w:space="0" w:color="auto"/>
        <w:left w:val="none" w:sz="0" w:space="0" w:color="auto"/>
        <w:bottom w:val="none" w:sz="0" w:space="0" w:color="auto"/>
        <w:right w:val="none" w:sz="0" w:space="0" w:color="auto"/>
      </w:divBdr>
    </w:div>
    <w:div w:id="1481656432">
      <w:bodyDiv w:val="1"/>
      <w:marLeft w:val="0"/>
      <w:marRight w:val="0"/>
      <w:marTop w:val="0"/>
      <w:marBottom w:val="0"/>
      <w:divBdr>
        <w:top w:val="none" w:sz="0" w:space="0" w:color="auto"/>
        <w:left w:val="none" w:sz="0" w:space="0" w:color="auto"/>
        <w:bottom w:val="none" w:sz="0" w:space="0" w:color="auto"/>
        <w:right w:val="none" w:sz="0" w:space="0" w:color="auto"/>
      </w:divBdr>
    </w:div>
    <w:div w:id="1527137624">
      <w:bodyDiv w:val="1"/>
      <w:marLeft w:val="0"/>
      <w:marRight w:val="0"/>
      <w:marTop w:val="0"/>
      <w:marBottom w:val="0"/>
      <w:divBdr>
        <w:top w:val="none" w:sz="0" w:space="0" w:color="auto"/>
        <w:left w:val="none" w:sz="0" w:space="0" w:color="auto"/>
        <w:bottom w:val="none" w:sz="0" w:space="0" w:color="auto"/>
        <w:right w:val="none" w:sz="0" w:space="0" w:color="auto"/>
      </w:divBdr>
    </w:div>
    <w:div w:id="1548838048">
      <w:bodyDiv w:val="1"/>
      <w:marLeft w:val="0"/>
      <w:marRight w:val="0"/>
      <w:marTop w:val="0"/>
      <w:marBottom w:val="0"/>
      <w:divBdr>
        <w:top w:val="none" w:sz="0" w:space="0" w:color="auto"/>
        <w:left w:val="none" w:sz="0" w:space="0" w:color="auto"/>
        <w:bottom w:val="none" w:sz="0" w:space="0" w:color="auto"/>
        <w:right w:val="none" w:sz="0" w:space="0" w:color="auto"/>
      </w:divBdr>
    </w:div>
    <w:div w:id="1575971851">
      <w:bodyDiv w:val="1"/>
      <w:marLeft w:val="0"/>
      <w:marRight w:val="0"/>
      <w:marTop w:val="0"/>
      <w:marBottom w:val="0"/>
      <w:divBdr>
        <w:top w:val="none" w:sz="0" w:space="0" w:color="auto"/>
        <w:left w:val="none" w:sz="0" w:space="0" w:color="auto"/>
        <w:bottom w:val="none" w:sz="0" w:space="0" w:color="auto"/>
        <w:right w:val="none" w:sz="0" w:space="0" w:color="auto"/>
      </w:divBdr>
    </w:div>
    <w:div w:id="1581526533">
      <w:bodyDiv w:val="1"/>
      <w:marLeft w:val="0"/>
      <w:marRight w:val="0"/>
      <w:marTop w:val="0"/>
      <w:marBottom w:val="0"/>
      <w:divBdr>
        <w:top w:val="none" w:sz="0" w:space="0" w:color="auto"/>
        <w:left w:val="none" w:sz="0" w:space="0" w:color="auto"/>
        <w:bottom w:val="none" w:sz="0" w:space="0" w:color="auto"/>
        <w:right w:val="none" w:sz="0" w:space="0" w:color="auto"/>
      </w:divBdr>
    </w:div>
    <w:div w:id="1590313935">
      <w:bodyDiv w:val="1"/>
      <w:marLeft w:val="0"/>
      <w:marRight w:val="0"/>
      <w:marTop w:val="0"/>
      <w:marBottom w:val="0"/>
      <w:divBdr>
        <w:top w:val="none" w:sz="0" w:space="0" w:color="auto"/>
        <w:left w:val="none" w:sz="0" w:space="0" w:color="auto"/>
        <w:bottom w:val="none" w:sz="0" w:space="0" w:color="auto"/>
        <w:right w:val="none" w:sz="0" w:space="0" w:color="auto"/>
      </w:divBdr>
    </w:div>
    <w:div w:id="1596286221">
      <w:bodyDiv w:val="1"/>
      <w:marLeft w:val="0"/>
      <w:marRight w:val="0"/>
      <w:marTop w:val="0"/>
      <w:marBottom w:val="0"/>
      <w:divBdr>
        <w:top w:val="none" w:sz="0" w:space="0" w:color="auto"/>
        <w:left w:val="none" w:sz="0" w:space="0" w:color="auto"/>
        <w:bottom w:val="none" w:sz="0" w:space="0" w:color="auto"/>
        <w:right w:val="none" w:sz="0" w:space="0" w:color="auto"/>
      </w:divBdr>
    </w:div>
    <w:div w:id="1623346099">
      <w:bodyDiv w:val="1"/>
      <w:marLeft w:val="0"/>
      <w:marRight w:val="0"/>
      <w:marTop w:val="0"/>
      <w:marBottom w:val="0"/>
      <w:divBdr>
        <w:top w:val="none" w:sz="0" w:space="0" w:color="auto"/>
        <w:left w:val="none" w:sz="0" w:space="0" w:color="auto"/>
        <w:bottom w:val="none" w:sz="0" w:space="0" w:color="auto"/>
        <w:right w:val="none" w:sz="0" w:space="0" w:color="auto"/>
      </w:divBdr>
    </w:div>
    <w:div w:id="1639190397">
      <w:bodyDiv w:val="1"/>
      <w:marLeft w:val="0"/>
      <w:marRight w:val="0"/>
      <w:marTop w:val="0"/>
      <w:marBottom w:val="0"/>
      <w:divBdr>
        <w:top w:val="none" w:sz="0" w:space="0" w:color="auto"/>
        <w:left w:val="none" w:sz="0" w:space="0" w:color="auto"/>
        <w:bottom w:val="none" w:sz="0" w:space="0" w:color="auto"/>
        <w:right w:val="none" w:sz="0" w:space="0" w:color="auto"/>
      </w:divBdr>
    </w:div>
    <w:div w:id="1748727152">
      <w:bodyDiv w:val="1"/>
      <w:marLeft w:val="0"/>
      <w:marRight w:val="0"/>
      <w:marTop w:val="0"/>
      <w:marBottom w:val="0"/>
      <w:divBdr>
        <w:top w:val="none" w:sz="0" w:space="0" w:color="auto"/>
        <w:left w:val="none" w:sz="0" w:space="0" w:color="auto"/>
        <w:bottom w:val="none" w:sz="0" w:space="0" w:color="auto"/>
        <w:right w:val="none" w:sz="0" w:space="0" w:color="auto"/>
      </w:divBdr>
    </w:div>
    <w:div w:id="1754165072">
      <w:bodyDiv w:val="1"/>
      <w:marLeft w:val="0"/>
      <w:marRight w:val="0"/>
      <w:marTop w:val="0"/>
      <w:marBottom w:val="0"/>
      <w:divBdr>
        <w:top w:val="none" w:sz="0" w:space="0" w:color="auto"/>
        <w:left w:val="none" w:sz="0" w:space="0" w:color="auto"/>
        <w:bottom w:val="none" w:sz="0" w:space="0" w:color="auto"/>
        <w:right w:val="none" w:sz="0" w:space="0" w:color="auto"/>
      </w:divBdr>
    </w:div>
    <w:div w:id="1754667324">
      <w:bodyDiv w:val="1"/>
      <w:marLeft w:val="0"/>
      <w:marRight w:val="0"/>
      <w:marTop w:val="0"/>
      <w:marBottom w:val="0"/>
      <w:divBdr>
        <w:top w:val="none" w:sz="0" w:space="0" w:color="auto"/>
        <w:left w:val="none" w:sz="0" w:space="0" w:color="auto"/>
        <w:bottom w:val="none" w:sz="0" w:space="0" w:color="auto"/>
        <w:right w:val="none" w:sz="0" w:space="0" w:color="auto"/>
      </w:divBdr>
    </w:div>
    <w:div w:id="1780175940">
      <w:bodyDiv w:val="1"/>
      <w:marLeft w:val="0"/>
      <w:marRight w:val="0"/>
      <w:marTop w:val="0"/>
      <w:marBottom w:val="0"/>
      <w:divBdr>
        <w:top w:val="none" w:sz="0" w:space="0" w:color="auto"/>
        <w:left w:val="none" w:sz="0" w:space="0" w:color="auto"/>
        <w:bottom w:val="none" w:sz="0" w:space="0" w:color="auto"/>
        <w:right w:val="none" w:sz="0" w:space="0" w:color="auto"/>
      </w:divBdr>
    </w:div>
    <w:div w:id="1851019787">
      <w:bodyDiv w:val="1"/>
      <w:marLeft w:val="0"/>
      <w:marRight w:val="0"/>
      <w:marTop w:val="0"/>
      <w:marBottom w:val="0"/>
      <w:divBdr>
        <w:top w:val="none" w:sz="0" w:space="0" w:color="auto"/>
        <w:left w:val="none" w:sz="0" w:space="0" w:color="auto"/>
        <w:bottom w:val="none" w:sz="0" w:space="0" w:color="auto"/>
        <w:right w:val="none" w:sz="0" w:space="0" w:color="auto"/>
      </w:divBdr>
    </w:div>
    <w:div w:id="1916157762">
      <w:bodyDiv w:val="1"/>
      <w:marLeft w:val="0"/>
      <w:marRight w:val="0"/>
      <w:marTop w:val="0"/>
      <w:marBottom w:val="0"/>
      <w:divBdr>
        <w:top w:val="none" w:sz="0" w:space="0" w:color="auto"/>
        <w:left w:val="none" w:sz="0" w:space="0" w:color="auto"/>
        <w:bottom w:val="none" w:sz="0" w:space="0" w:color="auto"/>
        <w:right w:val="none" w:sz="0" w:space="0" w:color="auto"/>
      </w:divBdr>
    </w:div>
    <w:div w:id="1926916985">
      <w:bodyDiv w:val="1"/>
      <w:marLeft w:val="0"/>
      <w:marRight w:val="0"/>
      <w:marTop w:val="0"/>
      <w:marBottom w:val="0"/>
      <w:divBdr>
        <w:top w:val="none" w:sz="0" w:space="0" w:color="auto"/>
        <w:left w:val="none" w:sz="0" w:space="0" w:color="auto"/>
        <w:bottom w:val="none" w:sz="0" w:space="0" w:color="auto"/>
        <w:right w:val="none" w:sz="0" w:space="0" w:color="auto"/>
      </w:divBdr>
    </w:div>
    <w:div w:id="1947538563">
      <w:bodyDiv w:val="1"/>
      <w:marLeft w:val="0"/>
      <w:marRight w:val="0"/>
      <w:marTop w:val="0"/>
      <w:marBottom w:val="0"/>
      <w:divBdr>
        <w:top w:val="none" w:sz="0" w:space="0" w:color="auto"/>
        <w:left w:val="none" w:sz="0" w:space="0" w:color="auto"/>
        <w:bottom w:val="none" w:sz="0" w:space="0" w:color="auto"/>
        <w:right w:val="none" w:sz="0" w:space="0" w:color="auto"/>
      </w:divBdr>
    </w:div>
    <w:div w:id="1964848166">
      <w:bodyDiv w:val="1"/>
      <w:marLeft w:val="0"/>
      <w:marRight w:val="0"/>
      <w:marTop w:val="0"/>
      <w:marBottom w:val="0"/>
      <w:divBdr>
        <w:top w:val="none" w:sz="0" w:space="0" w:color="auto"/>
        <w:left w:val="none" w:sz="0" w:space="0" w:color="auto"/>
        <w:bottom w:val="none" w:sz="0" w:space="0" w:color="auto"/>
        <w:right w:val="none" w:sz="0" w:space="0" w:color="auto"/>
      </w:divBdr>
    </w:div>
    <w:div w:id="1992320932">
      <w:bodyDiv w:val="1"/>
      <w:marLeft w:val="0"/>
      <w:marRight w:val="0"/>
      <w:marTop w:val="0"/>
      <w:marBottom w:val="0"/>
      <w:divBdr>
        <w:top w:val="none" w:sz="0" w:space="0" w:color="auto"/>
        <w:left w:val="none" w:sz="0" w:space="0" w:color="auto"/>
        <w:bottom w:val="none" w:sz="0" w:space="0" w:color="auto"/>
        <w:right w:val="none" w:sz="0" w:space="0" w:color="auto"/>
      </w:divBdr>
    </w:div>
    <w:div w:id="1996446943">
      <w:bodyDiv w:val="1"/>
      <w:marLeft w:val="0"/>
      <w:marRight w:val="0"/>
      <w:marTop w:val="0"/>
      <w:marBottom w:val="0"/>
      <w:divBdr>
        <w:top w:val="none" w:sz="0" w:space="0" w:color="auto"/>
        <w:left w:val="none" w:sz="0" w:space="0" w:color="auto"/>
        <w:bottom w:val="none" w:sz="0" w:space="0" w:color="auto"/>
        <w:right w:val="none" w:sz="0" w:space="0" w:color="auto"/>
      </w:divBdr>
    </w:div>
    <w:div w:id="2026781083">
      <w:bodyDiv w:val="1"/>
      <w:marLeft w:val="0"/>
      <w:marRight w:val="0"/>
      <w:marTop w:val="0"/>
      <w:marBottom w:val="0"/>
      <w:divBdr>
        <w:top w:val="none" w:sz="0" w:space="0" w:color="auto"/>
        <w:left w:val="none" w:sz="0" w:space="0" w:color="auto"/>
        <w:bottom w:val="none" w:sz="0" w:space="0" w:color="auto"/>
        <w:right w:val="none" w:sz="0" w:space="0" w:color="auto"/>
      </w:divBdr>
    </w:div>
    <w:div w:id="2068651405">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80326998">
      <w:bodyDiv w:val="1"/>
      <w:marLeft w:val="0"/>
      <w:marRight w:val="0"/>
      <w:marTop w:val="0"/>
      <w:marBottom w:val="0"/>
      <w:divBdr>
        <w:top w:val="none" w:sz="0" w:space="0" w:color="auto"/>
        <w:left w:val="none" w:sz="0" w:space="0" w:color="auto"/>
        <w:bottom w:val="none" w:sz="0" w:space="0" w:color="auto"/>
        <w:right w:val="none" w:sz="0" w:space="0" w:color="auto"/>
      </w:divBdr>
    </w:div>
    <w:div w:id="2096439538">
      <w:bodyDiv w:val="1"/>
      <w:marLeft w:val="0"/>
      <w:marRight w:val="0"/>
      <w:marTop w:val="0"/>
      <w:marBottom w:val="0"/>
      <w:divBdr>
        <w:top w:val="none" w:sz="0" w:space="0" w:color="auto"/>
        <w:left w:val="none" w:sz="0" w:space="0" w:color="auto"/>
        <w:bottom w:val="none" w:sz="0" w:space="0" w:color="auto"/>
        <w:right w:val="none" w:sz="0" w:space="0" w:color="auto"/>
      </w:divBdr>
    </w:div>
    <w:div w:id="2124618335">
      <w:bodyDiv w:val="1"/>
      <w:marLeft w:val="0"/>
      <w:marRight w:val="0"/>
      <w:marTop w:val="0"/>
      <w:marBottom w:val="0"/>
      <w:divBdr>
        <w:top w:val="none" w:sz="0" w:space="0" w:color="auto"/>
        <w:left w:val="none" w:sz="0" w:space="0" w:color="auto"/>
        <w:bottom w:val="none" w:sz="0" w:space="0" w:color="auto"/>
        <w:right w:val="none" w:sz="0" w:space="0" w:color="auto"/>
      </w:divBdr>
    </w:div>
    <w:div w:id="2146466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2.emf"/><Relationship Id="rId26" Type="http://schemas.openxmlformats.org/officeDocument/2006/relationships/chart" Target="charts/chart6.xml"/><Relationship Id="rId39" Type="http://schemas.openxmlformats.org/officeDocument/2006/relationships/image" Target="media/image12.jpeg"/><Relationship Id="rId21" Type="http://schemas.openxmlformats.org/officeDocument/2006/relationships/image" Target="media/image5.emf"/><Relationship Id="rId34" Type="http://schemas.openxmlformats.org/officeDocument/2006/relationships/chart" Target="charts/chart12.xml"/><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image" Target="media/image8.png"/><Relationship Id="rId11" Type="http://schemas.openxmlformats.org/officeDocument/2006/relationships/diagramData" Target="diagrams/data1.xml"/><Relationship Id="rId24" Type="http://schemas.openxmlformats.org/officeDocument/2006/relationships/chart" Target="charts/chart4.xml"/><Relationship Id="rId32" Type="http://schemas.openxmlformats.org/officeDocument/2006/relationships/chart" Target="charts/chart10.xm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 Type="http://schemas.microsoft.com/office/2007/relationships/stylesWithEffects" Target="stylesWithEffects.xml"/><Relationship Id="rId15" Type="http://schemas.microsoft.com/office/2007/relationships/diagramDrawing" Target="diagrams/drawing1.xml"/><Relationship Id="rId23" Type="http://schemas.openxmlformats.org/officeDocument/2006/relationships/chart" Target="charts/chart3.xml"/><Relationship Id="rId28" Type="http://schemas.openxmlformats.org/officeDocument/2006/relationships/image" Target="media/image7.png"/><Relationship Id="rId36" Type="http://schemas.openxmlformats.org/officeDocument/2006/relationships/image" Target="media/image9.jpeg"/><Relationship Id="rId49" Type="http://schemas.openxmlformats.org/officeDocument/2006/relationships/header" Target="header1.xml"/><Relationship Id="rId10" Type="http://schemas.openxmlformats.org/officeDocument/2006/relationships/image" Target="media/image1.gif"/><Relationship Id="rId19" Type="http://schemas.openxmlformats.org/officeDocument/2006/relationships/image" Target="media/image3.emf"/><Relationship Id="rId31" Type="http://schemas.openxmlformats.org/officeDocument/2006/relationships/chart" Target="charts/chart9.xml"/><Relationship Id="rId44" Type="http://schemas.openxmlformats.org/officeDocument/2006/relationships/image" Target="media/image17.jpe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Colors" Target="diagrams/colors1.xml"/><Relationship Id="rId22" Type="http://schemas.openxmlformats.org/officeDocument/2006/relationships/image" Target="media/image6.emf"/><Relationship Id="rId27" Type="http://schemas.openxmlformats.org/officeDocument/2006/relationships/chart" Target="charts/chart7.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image" Target="media/image16.jpeg"/><Relationship Id="rId48" Type="http://schemas.openxmlformats.org/officeDocument/2006/relationships/image" Target="media/image21.jpeg"/><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chart" Target="charts/chart2.xml"/><Relationship Id="rId25" Type="http://schemas.openxmlformats.org/officeDocument/2006/relationships/chart" Target="charts/chart5.xml"/><Relationship Id="rId33" Type="http://schemas.openxmlformats.org/officeDocument/2006/relationships/chart" Target="charts/chart11.xml"/><Relationship Id="rId38" Type="http://schemas.openxmlformats.org/officeDocument/2006/relationships/image" Target="media/image11.jpeg"/><Relationship Id="rId46" Type="http://schemas.openxmlformats.org/officeDocument/2006/relationships/image" Target="media/image19.jpeg"/><Relationship Id="rId20" Type="http://schemas.openxmlformats.org/officeDocument/2006/relationships/image" Target="media/image4.emf"/><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iriam\Desktop\Pr&#225;cticas\datos%20b&#225;sicos\municipo_padron_piramid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iriam\Desktop\Pr&#225;cticas\datos%20b&#225;sicos\municipi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iriam\Desktop\Pr&#225;cticas\datos%20b&#225;sicos\municipio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iriam\Desktop\Pr&#225;cticas\datos%20b&#225;sicos\municipio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iriam\Desktop\Pr&#225;cticas\datos%20b&#225;sicos\movimientos%20naturales%20poblacio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iriam\Desktop\Pr&#225;cticas\datos%20b&#225;sicos\movimientos%20naturales%20poblacio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iriam\Desktop\Pr&#225;cticas\datos%20b&#225;sicos\movimientos%20naturales%20poblacio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iriam\Desktop\Pr&#225;cticas\datos%20b&#225;sicos\actividades%20econ&#243;mica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iriam\Desktop\Pr&#225;cticas\datos%20b&#225;sicos\actividades%20econ&#243;mic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[municipo_padron_piramide.xlsx]dibujo piramide grupo!Tabla dinámica3</c:name>
    <c:fmtId val="-1"/>
  </c:pivotSource>
  <c:chart>
    <c:title>
      <c:tx>
        <c:rich>
          <a:bodyPr/>
          <a:lstStyle/>
          <a:p>
            <a:pPr>
              <a:defRPr sz="1400"/>
            </a:pPr>
            <a:r>
              <a:rPr lang="es-ES" sz="1400"/>
              <a:t>Pirámide</a:t>
            </a:r>
            <a:r>
              <a:rPr lang="es-ES" sz="1400" baseline="0"/>
              <a:t> de población (CEDESOR)</a:t>
            </a:r>
            <a:endParaRPr lang="es-ES" sz="1400"/>
          </a:p>
        </c:rich>
      </c:tx>
      <c:layout/>
      <c:overlay val="0"/>
    </c:title>
    <c:autoTitleDeleted val="0"/>
    <c:pivotFmts>
      <c:pivotFmt>
        <c:idx val="0"/>
        <c:spPr>
          <a:solidFill>
            <a:schemeClr val="accent1"/>
          </a:solidFill>
        </c:spPr>
        <c:marker>
          <c:symbol val="none"/>
        </c:marker>
      </c:pivotFmt>
      <c:pivotFmt>
        <c:idx val="1"/>
        <c:spPr>
          <a:solidFill>
            <a:schemeClr val="accent2"/>
          </a:solidFill>
        </c:spPr>
        <c:marker>
          <c:symbol val="none"/>
        </c:marker>
      </c:pivotFmt>
      <c:pivotFmt>
        <c:idx val="2"/>
        <c:spPr>
          <a:solidFill>
            <a:schemeClr val="accent2"/>
          </a:solidFill>
        </c:spPr>
        <c:marker>
          <c:symbol val="none"/>
        </c:marker>
      </c:pivotFmt>
      <c:pivotFmt>
        <c:idx val="3"/>
        <c:spPr>
          <a:solidFill>
            <a:schemeClr val="accent1"/>
          </a:solidFill>
        </c:spPr>
        <c:marker>
          <c:symbol val="none"/>
        </c:marker>
      </c:pivotFmt>
      <c:pivotFmt>
        <c:idx val="4"/>
        <c:spPr>
          <a:solidFill>
            <a:schemeClr val="accent2"/>
          </a:solidFill>
        </c:spPr>
        <c:marker>
          <c:symbol val="none"/>
        </c:marker>
      </c:pivotFmt>
      <c:pivotFmt>
        <c:idx val="5"/>
        <c:spPr>
          <a:solidFill>
            <a:schemeClr val="accent1"/>
          </a:solidFill>
        </c:spPr>
        <c:marker>
          <c:symbol val="none"/>
        </c:marker>
      </c:pivotFmt>
    </c:pivotFmts>
    <c:plotArea>
      <c:layout/>
      <c:barChart>
        <c:barDir val="bar"/>
        <c:grouping val="clustered"/>
        <c:varyColors val="0"/>
        <c:ser>
          <c:idx val="0"/>
          <c:order val="0"/>
          <c:tx>
            <c:strRef>
              <c:f>'dibujo piramide grupo'!$B$5:$B$6</c:f>
              <c:strCache>
                <c:ptCount val="1"/>
                <c:pt idx="0">
                  <c:v>Suma de MUJERES</c:v>
                </c:pt>
              </c:strCache>
            </c:strRef>
          </c:tx>
          <c:spPr>
            <a:solidFill>
              <a:schemeClr val="accent2"/>
            </a:solidFill>
          </c:spPr>
          <c:invertIfNegative val="0"/>
          <c:cat>
            <c:strRef>
              <c:f>'dibujo piramide grupo'!$A$7:$A$27</c:f>
              <c:strCache>
                <c:ptCount val="20"/>
                <c:pt idx="0">
                  <c:v>de 0 a 04</c:v>
                </c:pt>
                <c:pt idx="1">
                  <c:v>de 05 a 09</c:v>
                </c:pt>
                <c:pt idx="2">
                  <c:v>de 10 a 14</c:v>
                </c:pt>
                <c:pt idx="3">
                  <c:v>de 15 a 19</c:v>
                </c:pt>
                <c:pt idx="4">
                  <c:v>de 20 a 24</c:v>
                </c:pt>
                <c:pt idx="5">
                  <c:v>de 25 a 29</c:v>
                </c:pt>
                <c:pt idx="6">
                  <c:v>de 30 a 34</c:v>
                </c:pt>
                <c:pt idx="7">
                  <c:v>De 35 a 39</c:v>
                </c:pt>
                <c:pt idx="8">
                  <c:v>de 40 a 44</c:v>
                </c:pt>
                <c:pt idx="9">
                  <c:v>de 45 a 49</c:v>
                </c:pt>
                <c:pt idx="10">
                  <c:v>de 50 a 54</c:v>
                </c:pt>
                <c:pt idx="11">
                  <c:v>de 55 a 59</c:v>
                </c:pt>
                <c:pt idx="12">
                  <c:v>de 60 a 64</c:v>
                </c:pt>
                <c:pt idx="13">
                  <c:v>de 65 a 69</c:v>
                </c:pt>
                <c:pt idx="14">
                  <c:v>de 70 a 74</c:v>
                </c:pt>
                <c:pt idx="15">
                  <c:v>de 75 a 79</c:v>
                </c:pt>
                <c:pt idx="16">
                  <c:v>de 80 a 84</c:v>
                </c:pt>
                <c:pt idx="17">
                  <c:v>de 85 a 89</c:v>
                </c:pt>
                <c:pt idx="18">
                  <c:v>de 90 a 94</c:v>
                </c:pt>
                <c:pt idx="19">
                  <c:v>de 95 y más</c:v>
                </c:pt>
              </c:strCache>
            </c:strRef>
          </c:cat>
          <c:val>
            <c:numRef>
              <c:f>'dibujo piramide grupo'!$B$7:$B$27</c:f>
              <c:numCache>
                <c:formatCode>General</c:formatCode>
                <c:ptCount val="20"/>
                <c:pt idx="0">
                  <c:v>1.7712820016454533E-2</c:v>
                </c:pt>
                <c:pt idx="1">
                  <c:v>1.8632337995450807E-2</c:v>
                </c:pt>
                <c:pt idx="2">
                  <c:v>1.9697043023762281E-2</c:v>
                </c:pt>
                <c:pt idx="3">
                  <c:v>1.8777525044766007E-2</c:v>
                </c:pt>
                <c:pt idx="4">
                  <c:v>1.7809611382664667E-2</c:v>
                </c:pt>
                <c:pt idx="5">
                  <c:v>2.6714417073997E-2</c:v>
                </c:pt>
                <c:pt idx="6">
                  <c:v>3.503847456806853E-2</c:v>
                </c:pt>
                <c:pt idx="7">
                  <c:v>3.8813337850263759E-2</c:v>
                </c:pt>
                <c:pt idx="8">
                  <c:v>3.7942215554372549E-2</c:v>
                </c:pt>
                <c:pt idx="9">
                  <c:v>3.5280452983593863E-2</c:v>
                </c:pt>
                <c:pt idx="10">
                  <c:v>3.4602913420122922E-2</c:v>
                </c:pt>
                <c:pt idx="11">
                  <c:v>2.9037409863040216E-2</c:v>
                </c:pt>
                <c:pt idx="12">
                  <c:v>2.5601316362580458E-2</c:v>
                </c:pt>
                <c:pt idx="13">
                  <c:v>2.1294100566229494E-2</c:v>
                </c:pt>
                <c:pt idx="14">
                  <c:v>1.8487150946135605E-2</c:v>
                </c:pt>
                <c:pt idx="15">
                  <c:v>2.4730194066689252E-2</c:v>
                </c:pt>
                <c:pt idx="16">
                  <c:v>2.4536611334268984E-2</c:v>
                </c:pt>
                <c:pt idx="17">
                  <c:v>1.5341431544306249E-2</c:v>
                </c:pt>
                <c:pt idx="18">
                  <c:v>9.2435754730678023E-3</c:v>
                </c:pt>
                <c:pt idx="19">
                  <c:v>2.5649712045685523E-3</c:v>
                </c:pt>
              </c:numCache>
            </c:numRef>
          </c:val>
        </c:ser>
        <c:ser>
          <c:idx val="1"/>
          <c:order val="1"/>
          <c:tx>
            <c:strRef>
              <c:f>'dibujo piramide grupo'!$C$5:$C$6</c:f>
              <c:strCache>
                <c:ptCount val="1"/>
                <c:pt idx="0">
                  <c:v>Suma de HOMBRES</c:v>
                </c:pt>
              </c:strCache>
            </c:strRef>
          </c:tx>
          <c:spPr>
            <a:solidFill>
              <a:schemeClr val="accent1"/>
            </a:solidFill>
          </c:spPr>
          <c:invertIfNegative val="0"/>
          <c:cat>
            <c:strRef>
              <c:f>'dibujo piramide grupo'!$A$7:$A$27</c:f>
              <c:strCache>
                <c:ptCount val="20"/>
                <c:pt idx="0">
                  <c:v>de 0 a 04</c:v>
                </c:pt>
                <c:pt idx="1">
                  <c:v>de 05 a 09</c:v>
                </c:pt>
                <c:pt idx="2">
                  <c:v>de 10 a 14</c:v>
                </c:pt>
                <c:pt idx="3">
                  <c:v>de 15 a 19</c:v>
                </c:pt>
                <c:pt idx="4">
                  <c:v>de 20 a 24</c:v>
                </c:pt>
                <c:pt idx="5">
                  <c:v>de 25 a 29</c:v>
                </c:pt>
                <c:pt idx="6">
                  <c:v>de 30 a 34</c:v>
                </c:pt>
                <c:pt idx="7">
                  <c:v>De 35 a 39</c:v>
                </c:pt>
                <c:pt idx="8">
                  <c:v>de 40 a 44</c:v>
                </c:pt>
                <c:pt idx="9">
                  <c:v>de 45 a 49</c:v>
                </c:pt>
                <c:pt idx="10">
                  <c:v>de 50 a 54</c:v>
                </c:pt>
                <c:pt idx="11">
                  <c:v>de 55 a 59</c:v>
                </c:pt>
                <c:pt idx="12">
                  <c:v>de 60 a 64</c:v>
                </c:pt>
                <c:pt idx="13">
                  <c:v>de 65 a 69</c:v>
                </c:pt>
                <c:pt idx="14">
                  <c:v>de 70 a 74</c:v>
                </c:pt>
                <c:pt idx="15">
                  <c:v>de 75 a 79</c:v>
                </c:pt>
                <c:pt idx="16">
                  <c:v>de 80 a 84</c:v>
                </c:pt>
                <c:pt idx="17">
                  <c:v>de 85 a 89</c:v>
                </c:pt>
                <c:pt idx="18">
                  <c:v>de 90 a 94</c:v>
                </c:pt>
                <c:pt idx="19">
                  <c:v>de 95 y más</c:v>
                </c:pt>
              </c:strCache>
            </c:strRef>
          </c:cat>
          <c:val>
            <c:numRef>
              <c:f>'dibujo piramide grupo'!$C$7:$C$27</c:f>
              <c:numCache>
                <c:formatCode>General</c:formatCode>
                <c:ptCount val="20"/>
                <c:pt idx="0">
                  <c:v>-1.9745438706867346E-2</c:v>
                </c:pt>
                <c:pt idx="1">
                  <c:v>-2.0713352368968686E-2</c:v>
                </c:pt>
                <c:pt idx="2">
                  <c:v>-2.0568165319653487E-2</c:v>
                </c:pt>
                <c:pt idx="3">
                  <c:v>-1.7616028650244399E-2</c:v>
                </c:pt>
                <c:pt idx="4">
                  <c:v>-2.1971640129700432E-2</c:v>
                </c:pt>
                <c:pt idx="5">
                  <c:v>-2.865024439819968E-2</c:v>
                </c:pt>
                <c:pt idx="6">
                  <c:v>-3.9103711948894157E-2</c:v>
                </c:pt>
                <c:pt idx="7">
                  <c:v>-4.5395150752552869E-2</c:v>
                </c:pt>
                <c:pt idx="8">
                  <c:v>-4.466921550597687E-2</c:v>
                </c:pt>
                <c:pt idx="9">
                  <c:v>-4.6169481682233941E-2</c:v>
                </c:pt>
                <c:pt idx="10">
                  <c:v>-4.4572424139766732E-2</c:v>
                </c:pt>
                <c:pt idx="11">
                  <c:v>-3.7167884624691477E-2</c:v>
                </c:pt>
                <c:pt idx="12">
                  <c:v>-3.1844359483134105E-2</c:v>
                </c:pt>
                <c:pt idx="13">
                  <c:v>-2.637564729226153E-2</c:v>
                </c:pt>
                <c:pt idx="14">
                  <c:v>-1.8099985481295069E-2</c:v>
                </c:pt>
                <c:pt idx="15">
                  <c:v>-2.3762280404587912E-2</c:v>
                </c:pt>
                <c:pt idx="16">
                  <c:v>-1.9939021439287614E-2</c:v>
                </c:pt>
                <c:pt idx="17">
                  <c:v>-1.4905870396360644E-2</c:v>
                </c:pt>
                <c:pt idx="18">
                  <c:v>-5.8558776557131103E-3</c:v>
                </c:pt>
                <c:pt idx="19">
                  <c:v>-1.0163093452064077E-3</c:v>
                </c:pt>
              </c:numCache>
            </c:numRef>
          </c:val>
        </c:ser>
        <c:dLbls>
          <c:showLegendKey val="0"/>
          <c:showVal val="0"/>
          <c:showCatName val="0"/>
          <c:showSerName val="0"/>
          <c:showPercent val="0"/>
          <c:showBubbleSize val="0"/>
        </c:dLbls>
        <c:gapWidth val="150"/>
        <c:axId val="110589952"/>
        <c:axId val="87489280"/>
      </c:barChart>
      <c:catAx>
        <c:axId val="110589952"/>
        <c:scaling>
          <c:orientation val="minMax"/>
        </c:scaling>
        <c:delete val="0"/>
        <c:axPos val="l"/>
        <c:majorTickMark val="out"/>
        <c:minorTickMark val="none"/>
        <c:tickLblPos val="low"/>
        <c:crossAx val="87489280"/>
        <c:crosses val="autoZero"/>
        <c:auto val="1"/>
        <c:lblAlgn val="ctr"/>
        <c:lblOffset val="100"/>
        <c:noMultiLvlLbl val="0"/>
      </c:catAx>
      <c:valAx>
        <c:axId val="87489280"/>
        <c:scaling>
          <c:orientation val="minMax"/>
        </c:scaling>
        <c:delete val="1"/>
        <c:axPos val="b"/>
        <c:majorGridlines/>
        <c:numFmt formatCode="General" sourceLinked="1"/>
        <c:majorTickMark val="out"/>
        <c:minorTickMark val="none"/>
        <c:tickLblPos val="nextTo"/>
        <c:crossAx val="110589952"/>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social.xlsx]afiliaciones tramos y grupo SEP!Tabla dinámica1</c:name>
    <c:fmtId val="-1"/>
  </c:pivotSource>
  <c:chart>
    <c:title>
      <c:tx>
        <c:rich>
          <a:bodyPr/>
          <a:lstStyle/>
          <a:p>
            <a:pPr>
              <a:defRPr sz="1400"/>
            </a:pPr>
            <a:r>
              <a:rPr lang="es-ES" sz="1400"/>
              <a:t>CEDESOR</a:t>
            </a:r>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plotArea>
      <c:layout>
        <c:manualLayout>
          <c:layoutTarget val="inner"/>
          <c:xMode val="edge"/>
          <c:yMode val="edge"/>
          <c:x val="7.8793327735256866E-2"/>
          <c:y val="0.10804023048443448"/>
          <c:w val="0.89716821072628161"/>
          <c:h val="0.63807067059498368"/>
        </c:manualLayout>
      </c:layout>
      <c:barChart>
        <c:barDir val="col"/>
        <c:grouping val="clustered"/>
        <c:varyColors val="0"/>
        <c:ser>
          <c:idx val="0"/>
          <c:order val="0"/>
          <c:tx>
            <c:strRef>
              <c:f>'afiliaciones tramos y grupo SEP'!$B$7:$B$8</c:f>
              <c:strCache>
                <c:ptCount val="1"/>
                <c:pt idx="0">
                  <c:v>Suma de Hombres</c:v>
                </c:pt>
              </c:strCache>
            </c:strRef>
          </c:tx>
          <c:invertIfNegative val="0"/>
          <c:cat>
            <c:strRef>
              <c:f>'afiliaciones tramos y grupo SEP'!$A$9:$A$21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SEP'!$B$9:$B$21</c:f>
              <c:numCache>
                <c:formatCode>General</c:formatCode>
                <c:ptCount val="12"/>
                <c:pt idx="0">
                  <c:v>11</c:v>
                </c:pt>
                <c:pt idx="1">
                  <c:v>140</c:v>
                </c:pt>
                <c:pt idx="2">
                  <c:v>300</c:v>
                </c:pt>
                <c:pt idx="3">
                  <c:v>404</c:v>
                </c:pt>
                <c:pt idx="4">
                  <c:v>541</c:v>
                </c:pt>
                <c:pt idx="5">
                  <c:v>559</c:v>
                </c:pt>
                <c:pt idx="6">
                  <c:v>535</c:v>
                </c:pt>
                <c:pt idx="7">
                  <c:v>530</c:v>
                </c:pt>
                <c:pt idx="8">
                  <c:v>449</c:v>
                </c:pt>
                <c:pt idx="9">
                  <c:v>310</c:v>
                </c:pt>
                <c:pt idx="10">
                  <c:v>45</c:v>
                </c:pt>
                <c:pt idx="11">
                  <c:v>16</c:v>
                </c:pt>
              </c:numCache>
            </c:numRef>
          </c:val>
        </c:ser>
        <c:ser>
          <c:idx val="1"/>
          <c:order val="1"/>
          <c:tx>
            <c:strRef>
              <c:f>'afiliaciones tramos y grupo SEP'!$C$7:$C$8</c:f>
              <c:strCache>
                <c:ptCount val="1"/>
                <c:pt idx="0">
                  <c:v>Suma de Mujeres</c:v>
                </c:pt>
              </c:strCache>
            </c:strRef>
          </c:tx>
          <c:invertIfNegative val="0"/>
          <c:cat>
            <c:strRef>
              <c:f>'afiliaciones tramos y grupo SEP'!$A$9:$A$21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SEP'!$C$9:$C$21</c:f>
              <c:numCache>
                <c:formatCode>General</c:formatCode>
                <c:ptCount val="12"/>
                <c:pt idx="0">
                  <c:v>14</c:v>
                </c:pt>
                <c:pt idx="1">
                  <c:v>85</c:v>
                </c:pt>
                <c:pt idx="2">
                  <c:v>224</c:v>
                </c:pt>
                <c:pt idx="3">
                  <c:v>338</c:v>
                </c:pt>
                <c:pt idx="4">
                  <c:v>466</c:v>
                </c:pt>
                <c:pt idx="5">
                  <c:v>423</c:v>
                </c:pt>
                <c:pt idx="6">
                  <c:v>408</c:v>
                </c:pt>
                <c:pt idx="7">
                  <c:v>397</c:v>
                </c:pt>
                <c:pt idx="8">
                  <c:v>274</c:v>
                </c:pt>
                <c:pt idx="9">
                  <c:v>202</c:v>
                </c:pt>
                <c:pt idx="10">
                  <c:v>39</c:v>
                </c:pt>
                <c:pt idx="11">
                  <c:v>11</c:v>
                </c:pt>
              </c:numCache>
            </c:numRef>
          </c:val>
        </c:ser>
        <c:ser>
          <c:idx val="2"/>
          <c:order val="2"/>
          <c:tx>
            <c:strRef>
              <c:f>'afiliaciones tramos y grupo SEP'!$D$7:$D$8</c:f>
              <c:strCache>
                <c:ptCount val="1"/>
                <c:pt idx="0">
                  <c:v>Suma de total</c:v>
                </c:pt>
              </c:strCache>
            </c:strRef>
          </c:tx>
          <c:invertIfNegative val="0"/>
          <c:cat>
            <c:strRef>
              <c:f>'afiliaciones tramos y grupo SEP'!$A$9:$A$21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SEP'!$D$9:$D$21</c:f>
              <c:numCache>
                <c:formatCode>General</c:formatCode>
                <c:ptCount val="12"/>
                <c:pt idx="0">
                  <c:v>25</c:v>
                </c:pt>
                <c:pt idx="1">
                  <c:v>225</c:v>
                </c:pt>
                <c:pt idx="2">
                  <c:v>524</c:v>
                </c:pt>
                <c:pt idx="3">
                  <c:v>742</c:v>
                </c:pt>
                <c:pt idx="4">
                  <c:v>1007</c:v>
                </c:pt>
                <c:pt idx="5">
                  <c:v>982</c:v>
                </c:pt>
                <c:pt idx="6">
                  <c:v>943</c:v>
                </c:pt>
                <c:pt idx="7">
                  <c:v>927</c:v>
                </c:pt>
                <c:pt idx="8">
                  <c:v>723</c:v>
                </c:pt>
                <c:pt idx="9">
                  <c:v>512</c:v>
                </c:pt>
                <c:pt idx="10">
                  <c:v>84</c:v>
                </c:pt>
                <c:pt idx="11">
                  <c:v>27</c:v>
                </c:pt>
              </c:numCache>
            </c:numRef>
          </c:val>
        </c:ser>
        <c:dLbls>
          <c:showLegendKey val="0"/>
          <c:showVal val="0"/>
          <c:showCatName val="0"/>
          <c:showSerName val="0"/>
          <c:showPercent val="0"/>
          <c:showBubbleSize val="0"/>
        </c:dLbls>
        <c:gapWidth val="150"/>
        <c:axId val="111296000"/>
        <c:axId val="111350848"/>
      </c:barChart>
      <c:catAx>
        <c:axId val="111296000"/>
        <c:scaling>
          <c:orientation val="minMax"/>
        </c:scaling>
        <c:delete val="0"/>
        <c:axPos val="b"/>
        <c:majorTickMark val="out"/>
        <c:minorTickMark val="none"/>
        <c:tickLblPos val="nextTo"/>
        <c:crossAx val="111350848"/>
        <c:crosses val="autoZero"/>
        <c:auto val="1"/>
        <c:lblAlgn val="ctr"/>
        <c:lblOffset val="100"/>
        <c:noMultiLvlLbl val="0"/>
      </c:catAx>
      <c:valAx>
        <c:axId val="111350848"/>
        <c:scaling>
          <c:orientation val="minMax"/>
        </c:scaling>
        <c:delete val="0"/>
        <c:axPos val="l"/>
        <c:majorGridlines/>
        <c:numFmt formatCode="General" sourceLinked="1"/>
        <c:majorTickMark val="out"/>
        <c:minorTickMark val="none"/>
        <c:tickLblPos val="nextTo"/>
        <c:crossAx val="111296000"/>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social.xlsx]afiliaciones tramos y grupo JUN!Tabla dinámica1</c:name>
    <c:fmtId val="-1"/>
  </c:pivotSource>
  <c:chart>
    <c:title>
      <c:tx>
        <c:rich>
          <a:bodyPr/>
          <a:lstStyle/>
          <a:p>
            <a:pPr>
              <a:defRPr sz="1400"/>
            </a:pPr>
            <a:r>
              <a:rPr lang="es-ES" sz="1400"/>
              <a:t>CEDESOR</a:t>
            </a:r>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s>
    <c:plotArea>
      <c:layout>
        <c:manualLayout>
          <c:layoutTarget val="inner"/>
          <c:xMode val="edge"/>
          <c:yMode val="edge"/>
          <c:x val="7.0724328412636248E-2"/>
          <c:y val="0.10859149136208718"/>
          <c:w val="0.90997893059250956"/>
          <c:h val="0.72969355976025385"/>
        </c:manualLayout>
      </c:layout>
      <c:barChart>
        <c:barDir val="col"/>
        <c:grouping val="clustered"/>
        <c:varyColors val="0"/>
        <c:ser>
          <c:idx val="0"/>
          <c:order val="0"/>
          <c:tx>
            <c:strRef>
              <c:f>'afiliaciones tramos y grupo JUN'!$B$7:$B$8</c:f>
              <c:strCache>
                <c:ptCount val="1"/>
                <c:pt idx="0">
                  <c:v>Altas seg. social hombres</c:v>
                </c:pt>
              </c:strCache>
            </c:strRef>
          </c:tx>
          <c:invertIfNegative val="0"/>
          <c:cat>
            <c:strRef>
              <c:f>'afiliaciones tramos y grupo JUN'!$A$9:$A$21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JUN'!$B$9:$B$21</c:f>
              <c:numCache>
                <c:formatCode>General</c:formatCode>
                <c:ptCount val="12"/>
                <c:pt idx="0">
                  <c:v>32</c:v>
                </c:pt>
                <c:pt idx="1">
                  <c:v>166</c:v>
                </c:pt>
                <c:pt idx="2">
                  <c:v>314</c:v>
                </c:pt>
                <c:pt idx="3">
                  <c:v>427</c:v>
                </c:pt>
                <c:pt idx="4">
                  <c:v>583</c:v>
                </c:pt>
                <c:pt idx="5">
                  <c:v>564</c:v>
                </c:pt>
                <c:pt idx="6">
                  <c:v>560</c:v>
                </c:pt>
                <c:pt idx="7">
                  <c:v>515</c:v>
                </c:pt>
                <c:pt idx="8">
                  <c:v>450</c:v>
                </c:pt>
                <c:pt idx="9">
                  <c:v>300</c:v>
                </c:pt>
                <c:pt idx="10">
                  <c:v>41</c:v>
                </c:pt>
                <c:pt idx="11">
                  <c:v>15</c:v>
                </c:pt>
              </c:numCache>
            </c:numRef>
          </c:val>
        </c:ser>
        <c:ser>
          <c:idx val="1"/>
          <c:order val="1"/>
          <c:tx>
            <c:strRef>
              <c:f>'afiliaciones tramos y grupo JUN'!$C$7:$C$8</c:f>
              <c:strCache>
                <c:ptCount val="1"/>
                <c:pt idx="0">
                  <c:v>Altas seg. social Mujeres</c:v>
                </c:pt>
              </c:strCache>
            </c:strRef>
          </c:tx>
          <c:invertIfNegative val="0"/>
          <c:cat>
            <c:strRef>
              <c:f>'afiliaciones tramos y grupo JUN'!$A$9:$A$21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JUN'!$C$9:$C$21</c:f>
              <c:numCache>
                <c:formatCode>General</c:formatCode>
                <c:ptCount val="12"/>
                <c:pt idx="0">
                  <c:v>29</c:v>
                </c:pt>
                <c:pt idx="1">
                  <c:v>114</c:v>
                </c:pt>
                <c:pt idx="2">
                  <c:v>260</c:v>
                </c:pt>
                <c:pt idx="3">
                  <c:v>369</c:v>
                </c:pt>
                <c:pt idx="4">
                  <c:v>483</c:v>
                </c:pt>
                <c:pt idx="5">
                  <c:v>438</c:v>
                </c:pt>
                <c:pt idx="6">
                  <c:v>409</c:v>
                </c:pt>
                <c:pt idx="7">
                  <c:v>391</c:v>
                </c:pt>
                <c:pt idx="8">
                  <c:v>262</c:v>
                </c:pt>
                <c:pt idx="9">
                  <c:v>199</c:v>
                </c:pt>
                <c:pt idx="10">
                  <c:v>38</c:v>
                </c:pt>
                <c:pt idx="11">
                  <c:v>11</c:v>
                </c:pt>
              </c:numCache>
            </c:numRef>
          </c:val>
        </c:ser>
        <c:dLbls>
          <c:showLegendKey val="0"/>
          <c:showVal val="0"/>
          <c:showCatName val="0"/>
          <c:showSerName val="0"/>
          <c:showPercent val="0"/>
          <c:showBubbleSize val="0"/>
        </c:dLbls>
        <c:gapWidth val="150"/>
        <c:axId val="111294464"/>
        <c:axId val="111352576"/>
      </c:barChart>
      <c:catAx>
        <c:axId val="111294464"/>
        <c:scaling>
          <c:orientation val="minMax"/>
        </c:scaling>
        <c:delete val="0"/>
        <c:axPos val="b"/>
        <c:majorTickMark val="out"/>
        <c:minorTickMark val="none"/>
        <c:tickLblPos val="nextTo"/>
        <c:crossAx val="111352576"/>
        <c:crosses val="autoZero"/>
        <c:auto val="1"/>
        <c:lblAlgn val="ctr"/>
        <c:lblOffset val="100"/>
        <c:noMultiLvlLbl val="0"/>
      </c:catAx>
      <c:valAx>
        <c:axId val="111352576"/>
        <c:scaling>
          <c:orientation val="minMax"/>
        </c:scaling>
        <c:delete val="0"/>
        <c:axPos val="l"/>
        <c:majorGridlines/>
        <c:numFmt formatCode="General" sourceLinked="1"/>
        <c:majorTickMark val="out"/>
        <c:minorTickMark val="none"/>
        <c:tickLblPos val="nextTo"/>
        <c:crossAx val="111294464"/>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social.xlsx]Tabla régimen-actividad JUN!Tabla dinámica1</c:name>
    <c:fmtId val="-1"/>
  </c:pivotSource>
  <c:chart>
    <c:title>
      <c:tx>
        <c:rich>
          <a:bodyPr/>
          <a:lstStyle/>
          <a:p>
            <a:pPr>
              <a:defRPr sz="1400"/>
            </a:pPr>
            <a:r>
              <a:rPr lang="es-ES" sz="1400"/>
              <a:t>Altas</a:t>
            </a:r>
            <a:r>
              <a:rPr lang="es-ES" sz="1400" baseline="0"/>
              <a:t> por sector y grupo</a:t>
            </a:r>
            <a:endParaRPr lang="es-ES" sz="1400"/>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7.5162578841452707E-2"/>
          <c:y val="0.12668505215257184"/>
          <c:w val="0.59464874191326422"/>
          <c:h val="0.6861226863687494"/>
        </c:manualLayout>
      </c:layout>
      <c:bar3DChart>
        <c:barDir val="col"/>
        <c:grouping val="clustered"/>
        <c:varyColors val="0"/>
        <c:ser>
          <c:idx val="0"/>
          <c:order val="0"/>
          <c:tx>
            <c:strRef>
              <c:f>'Tabla régimen-actividad JUN'!$B$7:$B$8</c:f>
              <c:strCache>
                <c:ptCount val="1"/>
                <c:pt idx="0">
                  <c:v>Total del régimen Agricultura, ganadería y pesca</c:v>
                </c:pt>
              </c:strCache>
            </c:strRef>
          </c:tx>
          <c:invertIfNegative val="0"/>
          <c:cat>
            <c:multiLvlStrRef>
              <c:f>'Tabla régimen-actividad JUN'!$A$9:$A$11</c:f>
              <c:multiLvlStrCache>
                <c:ptCount val="2"/>
                <c:lvl>
                  <c:pt idx="0">
                    <c:v>Autónomos</c:v>
                  </c:pt>
                  <c:pt idx="1">
                    <c:v>General</c:v>
                  </c:pt>
                </c:lvl>
                <c:lvl>
                  <c:pt idx="0">
                    <c:v>CEDESOR</c:v>
                  </c:pt>
                </c:lvl>
              </c:multiLvlStrCache>
            </c:multiLvlStrRef>
          </c:cat>
          <c:val>
            <c:numRef>
              <c:f>'Tabla régimen-actividad JUN'!$B$9:$B$11</c:f>
              <c:numCache>
                <c:formatCode>General</c:formatCode>
                <c:ptCount val="2"/>
                <c:pt idx="0">
                  <c:v>876</c:v>
                </c:pt>
                <c:pt idx="1">
                  <c:v>300</c:v>
                </c:pt>
              </c:numCache>
            </c:numRef>
          </c:val>
        </c:ser>
        <c:ser>
          <c:idx val="1"/>
          <c:order val="1"/>
          <c:tx>
            <c:strRef>
              <c:f>'Tabla régimen-actividad JUN'!$C$7:$C$8</c:f>
              <c:strCache>
                <c:ptCount val="1"/>
                <c:pt idx="0">
                  <c:v>Total del régimen Industria y energía</c:v>
                </c:pt>
              </c:strCache>
            </c:strRef>
          </c:tx>
          <c:invertIfNegative val="0"/>
          <c:cat>
            <c:multiLvlStrRef>
              <c:f>'Tabla régimen-actividad JUN'!$A$9:$A$11</c:f>
              <c:multiLvlStrCache>
                <c:ptCount val="2"/>
                <c:lvl>
                  <c:pt idx="0">
                    <c:v>Autónomos</c:v>
                  </c:pt>
                  <c:pt idx="1">
                    <c:v>General</c:v>
                  </c:pt>
                </c:lvl>
                <c:lvl>
                  <c:pt idx="0">
                    <c:v>CEDESOR</c:v>
                  </c:pt>
                </c:lvl>
              </c:multiLvlStrCache>
            </c:multiLvlStrRef>
          </c:cat>
          <c:val>
            <c:numRef>
              <c:f>'Tabla régimen-actividad JUN'!$C$9:$C$11</c:f>
              <c:numCache>
                <c:formatCode>General</c:formatCode>
                <c:ptCount val="2"/>
                <c:pt idx="0">
                  <c:v>120</c:v>
                </c:pt>
                <c:pt idx="1">
                  <c:v>298</c:v>
                </c:pt>
              </c:numCache>
            </c:numRef>
          </c:val>
        </c:ser>
        <c:ser>
          <c:idx val="2"/>
          <c:order val="2"/>
          <c:tx>
            <c:strRef>
              <c:f>'Tabla régimen-actividad JUN'!$D$7:$D$8</c:f>
              <c:strCache>
                <c:ptCount val="1"/>
                <c:pt idx="0">
                  <c:v>Total del régimen Construcción</c:v>
                </c:pt>
              </c:strCache>
            </c:strRef>
          </c:tx>
          <c:invertIfNegative val="0"/>
          <c:cat>
            <c:multiLvlStrRef>
              <c:f>'Tabla régimen-actividad JUN'!$A$9:$A$11</c:f>
              <c:multiLvlStrCache>
                <c:ptCount val="2"/>
                <c:lvl>
                  <c:pt idx="0">
                    <c:v>Autónomos</c:v>
                  </c:pt>
                  <c:pt idx="1">
                    <c:v>General</c:v>
                  </c:pt>
                </c:lvl>
                <c:lvl>
                  <c:pt idx="0">
                    <c:v>CEDESOR</c:v>
                  </c:pt>
                </c:lvl>
              </c:multiLvlStrCache>
            </c:multiLvlStrRef>
          </c:cat>
          <c:val>
            <c:numRef>
              <c:f>'Tabla régimen-actividad JUN'!$D$9:$D$11</c:f>
              <c:numCache>
                <c:formatCode>General</c:formatCode>
                <c:ptCount val="2"/>
                <c:pt idx="0">
                  <c:v>411</c:v>
                </c:pt>
                <c:pt idx="1">
                  <c:v>487</c:v>
                </c:pt>
              </c:numCache>
            </c:numRef>
          </c:val>
        </c:ser>
        <c:ser>
          <c:idx val="3"/>
          <c:order val="3"/>
          <c:tx>
            <c:strRef>
              <c:f>'Tabla régimen-actividad JUN'!$E$7:$E$8</c:f>
              <c:strCache>
                <c:ptCount val="1"/>
                <c:pt idx="0">
                  <c:v>Total del régimen Servicios</c:v>
                </c:pt>
              </c:strCache>
            </c:strRef>
          </c:tx>
          <c:invertIfNegative val="0"/>
          <c:cat>
            <c:multiLvlStrRef>
              <c:f>'Tabla régimen-actividad JUN'!$A$9:$A$11</c:f>
              <c:multiLvlStrCache>
                <c:ptCount val="2"/>
                <c:lvl>
                  <c:pt idx="0">
                    <c:v>Autónomos</c:v>
                  </c:pt>
                  <c:pt idx="1">
                    <c:v>General</c:v>
                  </c:pt>
                </c:lvl>
                <c:lvl>
                  <c:pt idx="0">
                    <c:v>CEDESOR</c:v>
                  </c:pt>
                </c:lvl>
              </c:multiLvlStrCache>
            </c:multiLvlStrRef>
          </c:cat>
          <c:val>
            <c:numRef>
              <c:f>'Tabla régimen-actividad JUN'!$E$9:$E$11</c:f>
              <c:numCache>
                <c:formatCode>General</c:formatCode>
                <c:ptCount val="2"/>
                <c:pt idx="0">
                  <c:v>1265</c:v>
                </c:pt>
                <c:pt idx="1">
                  <c:v>3213</c:v>
                </c:pt>
              </c:numCache>
            </c:numRef>
          </c:val>
        </c:ser>
        <c:dLbls>
          <c:showLegendKey val="0"/>
          <c:showVal val="0"/>
          <c:showCatName val="0"/>
          <c:showSerName val="0"/>
          <c:showPercent val="0"/>
          <c:showBubbleSize val="0"/>
        </c:dLbls>
        <c:gapWidth val="150"/>
        <c:shape val="box"/>
        <c:axId val="111923200"/>
        <c:axId val="111862336"/>
        <c:axId val="0"/>
      </c:bar3DChart>
      <c:catAx>
        <c:axId val="111923200"/>
        <c:scaling>
          <c:orientation val="minMax"/>
        </c:scaling>
        <c:delete val="0"/>
        <c:axPos val="b"/>
        <c:majorTickMark val="out"/>
        <c:minorTickMark val="none"/>
        <c:tickLblPos val="nextTo"/>
        <c:crossAx val="111862336"/>
        <c:crosses val="autoZero"/>
        <c:auto val="1"/>
        <c:lblAlgn val="ctr"/>
        <c:lblOffset val="100"/>
        <c:noMultiLvlLbl val="0"/>
      </c:catAx>
      <c:valAx>
        <c:axId val="111862336"/>
        <c:scaling>
          <c:orientation val="minMax"/>
        </c:scaling>
        <c:delete val="0"/>
        <c:axPos val="l"/>
        <c:majorGridlines/>
        <c:numFmt formatCode="General" sourceLinked="1"/>
        <c:majorTickMark val="out"/>
        <c:minorTickMark val="none"/>
        <c:tickLblPos val="nextTo"/>
        <c:crossAx val="111923200"/>
        <c:crosses val="autoZero"/>
        <c:crossBetween val="between"/>
      </c:valAx>
    </c:plotArea>
    <c:legend>
      <c:legendPos val="b"/>
      <c:layout>
        <c:manualLayout>
          <c:xMode val="edge"/>
          <c:yMode val="edge"/>
          <c:x val="0.69342695263435117"/>
          <c:y val="0.16531726147867884"/>
          <c:w val="0.27352345322186361"/>
          <c:h val="0.68857884241742506"/>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social.xlsx]Gráfico altas régimen y sexo!Tabla dinámica3</c:name>
    <c:fmtId val="-1"/>
  </c:pivotSource>
  <c:chart>
    <c:title>
      <c:tx>
        <c:rich>
          <a:bodyPr/>
          <a:lstStyle/>
          <a:p>
            <a:pPr>
              <a:defRPr sz="1400"/>
            </a:pPr>
            <a:r>
              <a:rPr lang="es-ES" sz="1400"/>
              <a:t>Altas por sexo</a:t>
            </a:r>
          </a:p>
        </c:rich>
      </c:tx>
      <c:layout>
        <c:manualLayout>
          <c:xMode val="edge"/>
          <c:yMode val="edge"/>
          <c:x val="0.41044168096054889"/>
          <c:y val="1.7655367231638418E-2"/>
        </c:manualLayout>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0.10089156683459165"/>
          <c:y val="8.5107767249432809E-2"/>
          <c:w val="0.89910843316540834"/>
          <c:h val="0.7217911717603096"/>
        </c:manualLayout>
      </c:layout>
      <c:bar3DChart>
        <c:barDir val="col"/>
        <c:grouping val="clustered"/>
        <c:varyColors val="0"/>
        <c:ser>
          <c:idx val="0"/>
          <c:order val="0"/>
          <c:tx>
            <c:strRef>
              <c:f>'Gráfico altas régimen y sexo'!$C$7:$C$8</c:f>
              <c:strCache>
                <c:ptCount val="1"/>
                <c:pt idx="0">
                  <c:v>Suma de total</c:v>
                </c:pt>
              </c:strCache>
            </c:strRef>
          </c:tx>
          <c:invertIfNegative val="0"/>
          <c:cat>
            <c:multiLvlStrRef>
              <c:f>'Gráfico altas régimen y sexo'!$A$9:$B$12</c:f>
              <c:multiLvlStrCache>
                <c:ptCount val="2"/>
                <c:lvl>
                  <c:pt idx="0">
                    <c:v>Autónomos</c:v>
                  </c:pt>
                  <c:pt idx="1">
                    <c:v>General</c:v>
                  </c:pt>
                </c:lvl>
                <c:lvl>
                  <c:pt idx="0">
                    <c:v>CEDESOR</c:v>
                  </c:pt>
                </c:lvl>
              </c:multiLvlStrCache>
            </c:multiLvlStrRef>
          </c:cat>
          <c:val>
            <c:numRef>
              <c:f>'Gráfico altas régimen y sexo'!$C$9:$C$12</c:f>
              <c:numCache>
                <c:formatCode>General</c:formatCode>
                <c:ptCount val="2"/>
                <c:pt idx="0">
                  <c:v>2675</c:v>
                </c:pt>
                <c:pt idx="1">
                  <c:v>4046</c:v>
                </c:pt>
              </c:numCache>
            </c:numRef>
          </c:val>
        </c:ser>
        <c:ser>
          <c:idx val="1"/>
          <c:order val="1"/>
          <c:tx>
            <c:strRef>
              <c:f>'Gráfico altas régimen y sexo'!$D$7:$D$8</c:f>
              <c:strCache>
                <c:ptCount val="1"/>
                <c:pt idx="0">
                  <c:v>Suma de Hombres</c:v>
                </c:pt>
              </c:strCache>
            </c:strRef>
          </c:tx>
          <c:invertIfNegative val="0"/>
          <c:cat>
            <c:multiLvlStrRef>
              <c:f>'Gráfico altas régimen y sexo'!$A$9:$B$12</c:f>
              <c:multiLvlStrCache>
                <c:ptCount val="2"/>
                <c:lvl>
                  <c:pt idx="0">
                    <c:v>Autónomos</c:v>
                  </c:pt>
                  <c:pt idx="1">
                    <c:v>General</c:v>
                  </c:pt>
                </c:lvl>
                <c:lvl>
                  <c:pt idx="0">
                    <c:v>CEDESOR</c:v>
                  </c:pt>
                </c:lvl>
              </c:multiLvlStrCache>
            </c:multiLvlStrRef>
          </c:cat>
          <c:val>
            <c:numRef>
              <c:f>'Gráfico altas régimen y sexo'!$D$9:$D$12</c:f>
              <c:numCache>
                <c:formatCode>General</c:formatCode>
                <c:ptCount val="2"/>
                <c:pt idx="0">
                  <c:v>1823</c:v>
                </c:pt>
                <c:pt idx="1">
                  <c:v>2017</c:v>
                </c:pt>
              </c:numCache>
            </c:numRef>
          </c:val>
        </c:ser>
        <c:ser>
          <c:idx val="2"/>
          <c:order val="2"/>
          <c:tx>
            <c:strRef>
              <c:f>'Gráfico altas régimen y sexo'!$E$7:$E$8</c:f>
              <c:strCache>
                <c:ptCount val="1"/>
                <c:pt idx="0">
                  <c:v>Suma de Mujeres</c:v>
                </c:pt>
              </c:strCache>
            </c:strRef>
          </c:tx>
          <c:invertIfNegative val="0"/>
          <c:cat>
            <c:multiLvlStrRef>
              <c:f>'Gráfico altas régimen y sexo'!$A$9:$B$12</c:f>
              <c:multiLvlStrCache>
                <c:ptCount val="2"/>
                <c:lvl>
                  <c:pt idx="0">
                    <c:v>Autónomos</c:v>
                  </c:pt>
                  <c:pt idx="1">
                    <c:v>General</c:v>
                  </c:pt>
                </c:lvl>
                <c:lvl>
                  <c:pt idx="0">
                    <c:v>CEDESOR</c:v>
                  </c:pt>
                </c:lvl>
              </c:multiLvlStrCache>
            </c:multiLvlStrRef>
          </c:cat>
          <c:val>
            <c:numRef>
              <c:f>'Gráfico altas régimen y sexo'!$E$9:$E$12</c:f>
              <c:numCache>
                <c:formatCode>General</c:formatCode>
                <c:ptCount val="2"/>
                <c:pt idx="0">
                  <c:v>852</c:v>
                </c:pt>
                <c:pt idx="1">
                  <c:v>2029</c:v>
                </c:pt>
              </c:numCache>
            </c:numRef>
          </c:val>
        </c:ser>
        <c:dLbls>
          <c:showLegendKey val="0"/>
          <c:showVal val="0"/>
          <c:showCatName val="0"/>
          <c:showSerName val="0"/>
          <c:showPercent val="0"/>
          <c:showBubbleSize val="0"/>
        </c:dLbls>
        <c:gapWidth val="150"/>
        <c:shape val="box"/>
        <c:axId val="111925760"/>
        <c:axId val="111864064"/>
        <c:axId val="0"/>
      </c:bar3DChart>
      <c:catAx>
        <c:axId val="111925760"/>
        <c:scaling>
          <c:orientation val="minMax"/>
        </c:scaling>
        <c:delete val="0"/>
        <c:axPos val="b"/>
        <c:majorTickMark val="out"/>
        <c:minorTickMark val="none"/>
        <c:tickLblPos val="nextTo"/>
        <c:crossAx val="111864064"/>
        <c:crosses val="autoZero"/>
        <c:auto val="1"/>
        <c:lblAlgn val="ctr"/>
        <c:lblOffset val="100"/>
        <c:noMultiLvlLbl val="0"/>
      </c:catAx>
      <c:valAx>
        <c:axId val="111864064"/>
        <c:scaling>
          <c:orientation val="minMax"/>
        </c:scaling>
        <c:delete val="0"/>
        <c:axPos val="l"/>
        <c:majorGridlines/>
        <c:numFmt formatCode="General" sourceLinked="1"/>
        <c:majorTickMark val="out"/>
        <c:minorTickMark val="none"/>
        <c:tickLblPos val="nextTo"/>
        <c:crossAx val="111925760"/>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[municipios.xlsx]gráfico histórico INDIVIDUAL!Tabla dinámica1</c:name>
    <c:fmtId val="-1"/>
  </c:pivotSource>
  <c:chart>
    <c:title>
      <c:tx>
        <c:rich>
          <a:bodyPr/>
          <a:lstStyle/>
          <a:p>
            <a:pPr>
              <a:defRPr sz="1400"/>
            </a:pPr>
            <a:r>
              <a:rPr lang="en-US" sz="1400"/>
              <a:t>CEDESOR</a:t>
            </a:r>
          </a:p>
        </c:rich>
      </c:tx>
      <c:overlay val="1"/>
    </c:title>
    <c:autoTitleDeleted val="0"/>
    <c:pivotFmts>
      <c:pivotFmt>
        <c:idx val="0"/>
      </c:pivotFmt>
      <c:pivotFmt>
        <c:idx val="1"/>
      </c:pivotFmt>
      <c:pivotFmt>
        <c:idx val="2"/>
      </c:pivotFmt>
    </c:pivotFmts>
    <c:plotArea>
      <c:layout>
        <c:manualLayout>
          <c:layoutTarget val="inner"/>
          <c:xMode val="edge"/>
          <c:yMode val="edge"/>
          <c:x val="9.6630232076253625E-2"/>
          <c:y val="0.11368333205922074"/>
          <c:w val="0.87752390326209229"/>
          <c:h val="0.68622875417271867"/>
        </c:manualLayout>
      </c:layout>
      <c:lineChart>
        <c:grouping val="stacked"/>
        <c:varyColors val="0"/>
        <c:ser>
          <c:idx val="0"/>
          <c:order val="0"/>
          <c:tx>
            <c:strRef>
              <c:f>'gráfico histórico INDIVIDUAL'!$B$8</c:f>
              <c:strCache>
                <c:ptCount val="1"/>
                <c:pt idx="0">
                  <c:v>Total</c:v>
                </c:pt>
              </c:strCache>
            </c:strRef>
          </c:tx>
          <c:cat>
            <c:strRef>
              <c:f>'gráfico histórico INDIVIDUAL'!$A$9:$A$21</c:f>
              <c:strCache>
                <c:ptCount val="13"/>
                <c:pt idx="0">
                  <c:v>Suma de 1900</c:v>
                </c:pt>
                <c:pt idx="1">
                  <c:v>Suma de 1910</c:v>
                </c:pt>
                <c:pt idx="2">
                  <c:v>Suma de 1920</c:v>
                </c:pt>
                <c:pt idx="3">
                  <c:v>Suma de 1930</c:v>
                </c:pt>
                <c:pt idx="4">
                  <c:v>Suma de 1940</c:v>
                </c:pt>
                <c:pt idx="5">
                  <c:v>Suma de 1950</c:v>
                </c:pt>
                <c:pt idx="6">
                  <c:v>Suma de 1960</c:v>
                </c:pt>
                <c:pt idx="7">
                  <c:v>Suma de 1970</c:v>
                </c:pt>
                <c:pt idx="8">
                  <c:v>Suma de 1981</c:v>
                </c:pt>
                <c:pt idx="9">
                  <c:v>Suma de 1991</c:v>
                </c:pt>
                <c:pt idx="10">
                  <c:v>Suma de 2001</c:v>
                </c:pt>
                <c:pt idx="11">
                  <c:v>Suma de 2011</c:v>
                </c:pt>
                <c:pt idx="12">
                  <c:v>Suma de 2013</c:v>
                </c:pt>
              </c:strCache>
            </c:strRef>
          </c:cat>
          <c:val>
            <c:numRef>
              <c:f>'gráfico histórico INDIVIDUAL'!$B$9:$B$21</c:f>
              <c:numCache>
                <c:formatCode>General</c:formatCode>
                <c:ptCount val="13"/>
                <c:pt idx="0">
                  <c:v>56372</c:v>
                </c:pt>
                <c:pt idx="1">
                  <c:v>57006</c:v>
                </c:pt>
                <c:pt idx="2">
                  <c:v>56176</c:v>
                </c:pt>
                <c:pt idx="3">
                  <c:v>53421</c:v>
                </c:pt>
                <c:pt idx="4">
                  <c:v>49970</c:v>
                </c:pt>
                <c:pt idx="5">
                  <c:v>43984</c:v>
                </c:pt>
                <c:pt idx="6">
                  <c:v>38323</c:v>
                </c:pt>
                <c:pt idx="7">
                  <c:v>26190</c:v>
                </c:pt>
                <c:pt idx="8">
                  <c:v>20044</c:v>
                </c:pt>
                <c:pt idx="9">
                  <c:v>18553</c:v>
                </c:pt>
                <c:pt idx="10">
                  <c:v>18595</c:v>
                </c:pt>
                <c:pt idx="11">
                  <c:v>20700</c:v>
                </c:pt>
                <c:pt idx="12">
                  <c:v>20663</c:v>
                </c:pt>
              </c:numCache>
            </c:numRef>
          </c:val>
          <c:smooth val="0"/>
        </c:ser>
        <c:dLbls>
          <c:showLegendKey val="0"/>
          <c:showVal val="0"/>
          <c:showCatName val="0"/>
          <c:showSerName val="0"/>
          <c:showPercent val="0"/>
          <c:showBubbleSize val="0"/>
        </c:dLbls>
        <c:marker val="1"/>
        <c:smooth val="0"/>
        <c:axId val="110588416"/>
        <c:axId val="106029632"/>
      </c:lineChart>
      <c:catAx>
        <c:axId val="110588416"/>
        <c:scaling>
          <c:orientation val="minMax"/>
        </c:scaling>
        <c:delete val="0"/>
        <c:axPos val="b"/>
        <c:majorTickMark val="out"/>
        <c:minorTickMark val="none"/>
        <c:tickLblPos val="nextTo"/>
        <c:crossAx val="106029632"/>
        <c:crosses val="autoZero"/>
        <c:auto val="1"/>
        <c:lblAlgn val="ctr"/>
        <c:lblOffset val="100"/>
        <c:noMultiLvlLbl val="0"/>
      </c:catAx>
      <c:valAx>
        <c:axId val="106029632"/>
        <c:scaling>
          <c:orientation val="minMax"/>
        </c:scaling>
        <c:delete val="0"/>
        <c:axPos val="l"/>
        <c:majorGridlines/>
        <c:numFmt formatCode="General" sourceLinked="1"/>
        <c:majorTickMark val="out"/>
        <c:minorTickMark val="none"/>
        <c:tickLblPos val="nextTo"/>
        <c:crossAx val="110588416"/>
        <c:crosses val="autoZero"/>
        <c:crossBetween val="between"/>
      </c:valAx>
    </c:plotArea>
    <c:plotVisOnly val="1"/>
    <c:dispBlanksAs val="zero"/>
    <c:showDLblsOverMax val="0"/>
  </c:chart>
  <c:spPr>
    <a:solidFill>
      <a:schemeClr val="accent4">
        <a:lumMod val="20000"/>
        <a:lumOff val="80000"/>
      </a:scheme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[municipios.xlsx]Gráfico sectores por tamaño!Tabla dinámica2</c:name>
    <c:fmtId val="-1"/>
  </c:pivotSource>
  <c:chart>
    <c:title>
      <c:tx>
        <c:rich>
          <a:bodyPr/>
          <a:lstStyle/>
          <a:p>
            <a:pPr>
              <a:defRPr sz="1400"/>
            </a:pPr>
            <a:r>
              <a:rPr lang="en-US" sz="1400"/>
              <a:t>Población</a:t>
            </a:r>
            <a:r>
              <a:rPr lang="en-US" sz="1400" baseline="0"/>
              <a:t> por municipio</a:t>
            </a:r>
            <a:endParaRPr lang="en-US" sz="1400"/>
          </a:p>
        </c:rich>
      </c:tx>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dLbl>
          <c:idx val="0"/>
          <c:spPr/>
          <c:txPr>
            <a:bodyPr/>
            <a:lstStyle/>
            <a:p>
              <a:pPr>
                <a:defRPr/>
              </a:pPr>
              <a:endParaRPr lang="es-ES"/>
            </a:p>
          </c:txPr>
          <c:dLblPos val="ctr"/>
          <c:showLegendKey val="0"/>
          <c:showVal val="1"/>
          <c:showCatName val="0"/>
          <c:showSerName val="0"/>
          <c:showPercent val="0"/>
          <c:showBubbleSize val="0"/>
        </c:dLbl>
      </c:pivotFmt>
      <c:pivotFmt>
        <c:idx val="61"/>
        <c:dLbl>
          <c:idx val="0"/>
          <c:layout>
            <c:manualLayout>
              <c:x val="3.9080459770114942E-2"/>
              <c:y val="8.7962598425196867E-2"/>
            </c:manualLayout>
          </c:layout>
          <c:dLblPos val="ctr"/>
          <c:showLegendKey val="0"/>
          <c:showVal val="1"/>
          <c:showCatName val="0"/>
          <c:showSerName val="0"/>
          <c:showPercent val="0"/>
          <c:showBubbleSize val="0"/>
        </c:dLbl>
      </c:pivotFmt>
      <c:pivotFmt>
        <c:idx val="62"/>
        <c:dLbl>
          <c:idx val="0"/>
          <c:layout>
            <c:manualLayout>
              <c:x val="-5.9770114942529075E-2"/>
              <c:y val="0.16666666666666666"/>
            </c:manualLayout>
          </c:layout>
          <c:dLblPos val="ctr"/>
          <c:showLegendKey val="0"/>
          <c:showVal val="1"/>
          <c:showCatName val="0"/>
          <c:showSerName val="0"/>
          <c:showPercent val="0"/>
          <c:showBubbleSize val="0"/>
        </c:dLbl>
      </c:pivotFmt>
      <c:pivotFmt>
        <c:idx val="63"/>
        <c:dLbl>
          <c:idx val="0"/>
          <c:layout>
            <c:manualLayout>
              <c:x val="-7.3563218390804597E-2"/>
              <c:y val="1.3888888888889006E-2"/>
            </c:manualLayout>
          </c:layout>
          <c:dLblPos val="ctr"/>
          <c:showLegendKey val="0"/>
          <c:showVal val="1"/>
          <c:showCatName val="0"/>
          <c:showSerName val="0"/>
          <c:showPercent val="0"/>
          <c:showBubbleSize val="0"/>
        </c:dLbl>
      </c:pivotFmt>
      <c:pivotFmt>
        <c:idx val="64"/>
        <c:dLbl>
          <c:idx val="0"/>
          <c:layout>
            <c:manualLayout>
              <c:x val="-4.8275862068965142E-2"/>
              <c:y val="-2.7777777777778002E-2"/>
            </c:manualLayout>
          </c:layout>
          <c:dLblPos val="ctr"/>
          <c:showLegendKey val="0"/>
          <c:showVal val="1"/>
          <c:showCatName val="0"/>
          <c:showSerName val="0"/>
          <c:showPercent val="0"/>
          <c:showBubbleSize val="0"/>
        </c:dLbl>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dLbl>
          <c:idx val="0"/>
          <c:spPr/>
          <c:txPr>
            <a:bodyPr/>
            <a:lstStyle/>
            <a:p>
              <a:pPr>
                <a:defRPr/>
              </a:pPr>
              <a:endParaRPr lang="es-ES"/>
            </a:p>
          </c:txPr>
          <c:dLblPos val="outEnd"/>
          <c:showLegendKey val="1"/>
          <c:showVal val="1"/>
          <c:showCatName val="0"/>
          <c:showSerName val="0"/>
          <c:showPercent val="0"/>
          <c:showBubbleSize val="0"/>
        </c:dLbl>
      </c:pivotFmt>
      <c:pivotFmt>
        <c:idx val="76"/>
      </c:pivotFmt>
      <c:pivotFmt>
        <c:idx val="77"/>
      </c:pivotFmt>
      <c:pivotFmt>
        <c:idx val="78"/>
      </c:pivotFmt>
      <c:pivotFmt>
        <c:idx val="79"/>
        <c:marker>
          <c:symbol val="none"/>
        </c:marker>
        <c:dLbl>
          <c:idx val="0"/>
          <c:spPr/>
          <c:txPr>
            <a:bodyPr/>
            <a:lstStyle/>
            <a:p>
              <a:pPr>
                <a:defRPr/>
              </a:pPr>
              <a:endParaRPr lang="es-ES"/>
            </a:p>
          </c:txPr>
          <c:showLegendKey val="0"/>
          <c:showVal val="1"/>
          <c:showCatName val="0"/>
          <c:showSerName val="0"/>
          <c:showPercent val="0"/>
          <c:showBubbleSize val="0"/>
        </c:dLbl>
      </c:pivotFmt>
      <c:pivotFmt>
        <c:idx val="80"/>
        <c:marker>
          <c:symbol val="none"/>
        </c:marker>
        <c:dLbl>
          <c:idx val="0"/>
          <c:spPr/>
          <c:txPr>
            <a:bodyPr/>
            <a:lstStyle/>
            <a:p>
              <a:pPr>
                <a:defRPr/>
              </a:pPr>
              <a:endParaRPr lang="es-ES"/>
            </a:p>
          </c:txPr>
          <c:showLegendKey val="0"/>
          <c:showVal val="1"/>
          <c:showCatName val="0"/>
          <c:showSerName val="0"/>
          <c:showPercent val="0"/>
          <c:showBubbleSize val="0"/>
        </c:dLbl>
      </c:pivotFmt>
      <c:pivotFmt>
        <c:idx val="81"/>
        <c:marker>
          <c:symbol val="none"/>
        </c:marker>
        <c:dLbl>
          <c:idx val="0"/>
          <c:spPr/>
          <c:txPr>
            <a:bodyPr/>
            <a:lstStyle/>
            <a:p>
              <a:pPr>
                <a:defRPr/>
              </a:pPr>
              <a:endParaRPr lang="es-ES"/>
            </a:p>
          </c:txPr>
          <c:showLegendKey val="0"/>
          <c:showVal val="1"/>
          <c:showCatName val="0"/>
          <c:showSerName val="0"/>
          <c:showPercent val="0"/>
          <c:showBubbleSize val="0"/>
        </c:dLbl>
      </c:pivotFmt>
      <c:pivotFmt>
        <c:idx val="82"/>
        <c:marker>
          <c:symbol val="none"/>
        </c:marker>
        <c:dLbl>
          <c:idx val="0"/>
          <c:spPr/>
          <c:txPr>
            <a:bodyPr/>
            <a:lstStyle/>
            <a:p>
              <a:pPr>
                <a:defRPr/>
              </a:pPr>
              <a:endParaRPr lang="es-ES"/>
            </a:p>
          </c:txPr>
          <c:showLegendKey val="0"/>
          <c:showVal val="1"/>
          <c:showCatName val="0"/>
          <c:showSerName val="0"/>
          <c:showPercent val="0"/>
          <c:showBubbleSize val="0"/>
        </c:dLbl>
      </c:pivotFmt>
      <c:pivotFmt>
        <c:idx val="83"/>
        <c:marker>
          <c:symbol val="none"/>
        </c:marker>
        <c:dLbl>
          <c:idx val="0"/>
          <c:spPr/>
          <c:txPr>
            <a:bodyPr/>
            <a:lstStyle/>
            <a:p>
              <a:pPr>
                <a:defRPr/>
              </a:pPr>
              <a:endParaRPr lang="es-ES"/>
            </a:p>
          </c:txPr>
          <c:showLegendKey val="0"/>
          <c:showVal val="1"/>
          <c:showCatName val="0"/>
          <c:showSerName val="0"/>
          <c:showPercent val="0"/>
          <c:showBubbleSize val="0"/>
        </c:dLbl>
      </c:pivotFmt>
      <c:pivotFmt>
        <c:idx val="84"/>
        <c:marker>
          <c:symbol val="none"/>
        </c:marker>
        <c:dLbl>
          <c:idx val="0"/>
          <c:spPr/>
          <c:txPr>
            <a:bodyPr/>
            <a:lstStyle/>
            <a:p>
              <a:pPr>
                <a:defRPr/>
              </a:pPr>
              <a:endParaRPr lang="es-ES"/>
            </a:p>
          </c:txPr>
          <c:showLegendKey val="0"/>
          <c:showVal val="1"/>
          <c:showCatName val="0"/>
          <c:showSerName val="0"/>
          <c:showPercent val="0"/>
          <c:showBubbleSize val="0"/>
        </c:dLbl>
      </c:pivotFmt>
      <c:pivotFmt>
        <c:idx val="85"/>
        <c:marker>
          <c:symbol val="none"/>
        </c:marker>
        <c:dLbl>
          <c:idx val="0"/>
          <c:spPr/>
          <c:txPr>
            <a:bodyPr/>
            <a:lstStyle/>
            <a:p>
              <a:pPr>
                <a:defRPr/>
              </a:pPr>
              <a:endParaRPr lang="es-ES"/>
            </a:p>
          </c:txPr>
          <c:showLegendKey val="0"/>
          <c:showVal val="1"/>
          <c:showCatName val="0"/>
          <c:showSerName val="0"/>
          <c:showPercent val="0"/>
          <c:showBubbleSize val="0"/>
        </c:dLbl>
      </c:pivotFmt>
      <c:pivotFmt>
        <c:idx val="86"/>
        <c:marker>
          <c:symbol val="none"/>
        </c:marker>
        <c:dLbl>
          <c:idx val="0"/>
          <c:spPr/>
          <c:txPr>
            <a:bodyPr/>
            <a:lstStyle/>
            <a:p>
              <a:pPr>
                <a:defRPr/>
              </a:pPr>
              <a:endParaRPr lang="es-ES"/>
            </a:p>
          </c:txPr>
          <c:showLegendKey val="0"/>
          <c:showVal val="1"/>
          <c:showCatName val="0"/>
          <c:showSerName val="0"/>
          <c:showPercent val="0"/>
          <c:showBubbleSize val="0"/>
        </c:dLbl>
      </c:pivotFmt>
      <c:pivotFmt>
        <c:idx val="87"/>
        <c:marker>
          <c:symbol val="none"/>
        </c:marker>
        <c:dLbl>
          <c:idx val="0"/>
          <c:spPr/>
          <c:txPr>
            <a:bodyPr/>
            <a:lstStyle/>
            <a:p>
              <a:pPr>
                <a:defRPr/>
              </a:pPr>
              <a:endParaRPr lang="es-ES"/>
            </a:p>
          </c:txPr>
          <c:showLegendKey val="0"/>
          <c:showVal val="1"/>
          <c:showCatName val="0"/>
          <c:showSerName val="0"/>
          <c:showPercent val="0"/>
          <c:showBubbleSize val="0"/>
        </c:dLbl>
      </c:pivotFmt>
      <c:pivotFmt>
        <c:idx val="88"/>
        <c:marker>
          <c:symbol val="none"/>
        </c:marker>
        <c:dLbl>
          <c:idx val="0"/>
          <c:spPr/>
          <c:txPr>
            <a:bodyPr/>
            <a:lstStyle/>
            <a:p>
              <a:pPr>
                <a:defRPr/>
              </a:pPr>
              <a:endParaRPr lang="es-ES"/>
            </a:p>
          </c:txPr>
          <c:showLegendKey val="0"/>
          <c:showVal val="1"/>
          <c:showCatName val="0"/>
          <c:showSerName val="0"/>
          <c:showPercent val="0"/>
          <c:showBubbleSize val="0"/>
        </c:dLbl>
      </c:pivotFmt>
      <c:pivotFmt>
        <c:idx val="89"/>
        <c:marker>
          <c:symbol val="none"/>
        </c:marker>
        <c:dLbl>
          <c:idx val="0"/>
          <c:spPr/>
          <c:txPr>
            <a:bodyPr/>
            <a:lstStyle/>
            <a:p>
              <a:pPr>
                <a:defRPr/>
              </a:pPr>
              <a:endParaRPr lang="es-ES"/>
            </a:p>
          </c:txPr>
          <c:showLegendKey val="0"/>
          <c:showVal val="1"/>
          <c:showCatName val="0"/>
          <c:showSerName val="0"/>
          <c:showPercent val="0"/>
          <c:showBubbleSize val="0"/>
        </c:dLbl>
      </c:pivotFmt>
      <c:pivotFmt>
        <c:idx val="90"/>
        <c:marker>
          <c:symbol val="none"/>
        </c:marker>
        <c:dLbl>
          <c:idx val="0"/>
          <c:spPr/>
          <c:txPr>
            <a:bodyPr/>
            <a:lstStyle/>
            <a:p>
              <a:pPr>
                <a:defRPr/>
              </a:pPr>
              <a:endParaRPr lang="es-ES"/>
            </a:p>
          </c:txPr>
          <c:showLegendKey val="0"/>
          <c:showVal val="1"/>
          <c:showCatName val="0"/>
          <c:showSerName val="0"/>
          <c:showPercent val="0"/>
          <c:showBubbleSize val="0"/>
        </c:dLbl>
      </c:pivotFmt>
      <c:pivotFmt>
        <c:idx val="91"/>
        <c:marker>
          <c:symbol val="none"/>
        </c:marker>
        <c:dLbl>
          <c:idx val="0"/>
          <c:spPr/>
          <c:txPr>
            <a:bodyPr/>
            <a:lstStyle/>
            <a:p>
              <a:pPr>
                <a:defRPr/>
              </a:pPr>
              <a:endParaRPr lang="es-ES"/>
            </a:p>
          </c:txPr>
          <c:showLegendKey val="0"/>
          <c:showVal val="1"/>
          <c:showCatName val="0"/>
          <c:showSerName val="0"/>
          <c:showPercent val="0"/>
          <c:showBubbleSize val="0"/>
        </c:dLbl>
      </c:pivotFmt>
      <c:pivotFmt>
        <c:idx val="92"/>
        <c:marker>
          <c:symbol val="none"/>
        </c:marker>
        <c:dLbl>
          <c:idx val="0"/>
          <c:spPr/>
          <c:txPr>
            <a:bodyPr/>
            <a:lstStyle/>
            <a:p>
              <a:pPr>
                <a:defRPr/>
              </a:pPr>
              <a:endParaRPr lang="es-ES"/>
            </a:p>
          </c:txPr>
          <c:showLegendKey val="0"/>
          <c:showVal val="1"/>
          <c:showCatName val="0"/>
          <c:showSerName val="0"/>
          <c:showPercent val="0"/>
          <c:showBubbleSize val="0"/>
        </c:dLbl>
      </c:pivotFmt>
    </c:pivotFmts>
    <c:view3D>
      <c:rotX val="15"/>
      <c:rotY val="0"/>
      <c:rAngAx val="0"/>
      <c:perspective val="30"/>
    </c:view3D>
    <c:floor>
      <c:thickness val="0"/>
    </c:floor>
    <c:sideWall>
      <c:thickness val="0"/>
    </c:sideWall>
    <c:backWall>
      <c:thickness val="0"/>
    </c:backWall>
    <c:plotArea>
      <c:layout>
        <c:manualLayout>
          <c:layoutTarget val="inner"/>
          <c:xMode val="edge"/>
          <c:yMode val="edge"/>
          <c:x val="1.8248580996340982E-2"/>
          <c:y val="0.18969925634295731"/>
          <c:w val="0.71103330357816963"/>
          <c:h val="0.77789333624963908"/>
        </c:manualLayout>
      </c:layout>
      <c:pie3DChart>
        <c:varyColors val="1"/>
        <c:ser>
          <c:idx val="0"/>
          <c:order val="0"/>
          <c:tx>
            <c:strRef>
              <c:f>'Gráfico sectores por tamaño'!$B$5</c:f>
              <c:strCache>
                <c:ptCount val="1"/>
                <c:pt idx="0">
                  <c:v>Total</c:v>
                </c:pt>
              </c:strCache>
            </c:strRef>
          </c:tx>
          <c:dLbls>
            <c:txPr>
              <a:bodyPr/>
              <a:lstStyle/>
              <a:p>
                <a:pPr>
                  <a:defRPr/>
                </a:pPr>
                <a:endParaRPr lang="es-ES"/>
              </a:p>
            </c:txPr>
            <c:showLegendKey val="0"/>
            <c:showVal val="1"/>
            <c:showCatName val="0"/>
            <c:showSerName val="0"/>
            <c:showPercent val="0"/>
            <c:showBubbleSize val="0"/>
            <c:showLeaderLines val="1"/>
          </c:dLbls>
          <c:cat>
            <c:strRef>
              <c:f>'Gráfico sectores por tamaño'!$A$6:$A$13</c:f>
              <c:strCache>
                <c:ptCount val="7"/>
                <c:pt idx="0">
                  <c:v>a hasta 100 habitantes</c:v>
                </c:pt>
                <c:pt idx="1">
                  <c:v>b de 101 a 500</c:v>
                </c:pt>
                <c:pt idx="2">
                  <c:v>c de 501 a 1000</c:v>
                </c:pt>
                <c:pt idx="3">
                  <c:v>d de 1001 a 5000</c:v>
                </c:pt>
                <c:pt idx="4">
                  <c:v>e de 5001 a 10000</c:v>
                </c:pt>
                <c:pt idx="5">
                  <c:v>f de 10001 a 20000</c:v>
                </c:pt>
                <c:pt idx="6">
                  <c:v>g mas de 20001</c:v>
                </c:pt>
              </c:strCache>
            </c:strRef>
          </c:cat>
          <c:val>
            <c:numRef>
              <c:f>'Gráfico sectores por tamaño'!$B$6:$B$13</c:f>
              <c:numCache>
                <c:formatCode>General</c:formatCode>
                <c:ptCount val="7"/>
                <c:pt idx="0">
                  <c:v>633</c:v>
                </c:pt>
                <c:pt idx="1">
                  <c:v>7913</c:v>
                </c:pt>
                <c:pt idx="2">
                  <c:v>1882</c:v>
                </c:pt>
                <c:pt idx="3">
                  <c:v>10235</c:v>
                </c:pt>
                <c:pt idx="4">
                  <c:v>0</c:v>
                </c:pt>
                <c:pt idx="5">
                  <c:v>0</c:v>
                </c:pt>
                <c:pt idx="6">
                  <c:v>0</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[municipios.xlsx]Gráfico sectores por tamaño!Tabla dinámica3</c:name>
    <c:fmtId val="-1"/>
  </c:pivotSource>
  <c:chart>
    <c:title>
      <c:tx>
        <c:rich>
          <a:bodyPr/>
          <a:lstStyle/>
          <a:p>
            <a:pPr>
              <a:defRPr sz="1400"/>
            </a:pPr>
            <a:r>
              <a:rPr lang="en-US" sz="1400"/>
              <a:t>Municipios según población</a:t>
            </a:r>
          </a:p>
        </c:rich>
      </c:tx>
      <c:overlay val="0"/>
    </c:title>
    <c:autoTitleDeleted val="0"/>
    <c:pivotFmts>
      <c:pivotFmt>
        <c:idx val="0"/>
        <c:marker>
          <c:symbol val="none"/>
        </c:marker>
      </c:pivotFmt>
      <c:pivotFmt>
        <c:idx val="1"/>
        <c:marker>
          <c:symbol val="none"/>
        </c:marker>
      </c:pivotFmt>
      <c:pivotFmt>
        <c:idx val="2"/>
        <c:marker>
          <c:symbol val="none"/>
        </c:marker>
        <c:dLbl>
          <c:idx val="0"/>
          <c:spPr/>
          <c:txPr>
            <a:bodyPr/>
            <a:lstStyle/>
            <a:p>
              <a:pPr>
                <a:defRPr/>
              </a:pPr>
              <a:endParaRPr lang="es-ES"/>
            </a:p>
          </c:txPr>
          <c:dLblPos val="outEnd"/>
          <c:showLegendKey val="1"/>
          <c:showVal val="1"/>
          <c:showCatName val="0"/>
          <c:showSerName val="0"/>
          <c:showPercent val="0"/>
          <c:showBubbleSize val="0"/>
        </c:dLbl>
      </c:pivotFmt>
      <c:pivotFmt>
        <c:idx val="3"/>
        <c:marker>
          <c:symbol val="none"/>
        </c:marker>
        <c:dLbl>
          <c:idx val="0"/>
          <c:spPr/>
          <c:txPr>
            <a:bodyPr/>
            <a:lstStyle/>
            <a:p>
              <a:pPr>
                <a:defRPr/>
              </a:pPr>
              <a:endParaRPr lang="es-ES"/>
            </a:p>
          </c:txPr>
          <c:showLegendKey val="0"/>
          <c:showVal val="1"/>
          <c:showCatName val="0"/>
          <c:showSerName val="0"/>
          <c:showPercent val="0"/>
          <c:showBubbleSize val="0"/>
        </c:dLbl>
      </c:pivotFmt>
      <c:pivotFmt>
        <c:idx val="4"/>
        <c:marker>
          <c:symbol val="none"/>
        </c:marker>
        <c:dLbl>
          <c:idx val="0"/>
          <c:spPr/>
          <c:txPr>
            <a:bodyPr/>
            <a:lstStyle/>
            <a:p>
              <a:pPr>
                <a:defRPr/>
              </a:pPr>
              <a:endParaRPr lang="es-ES"/>
            </a:p>
          </c:txPr>
          <c:showLegendKey val="0"/>
          <c:showVal val="1"/>
          <c:showCatName val="0"/>
          <c:showSerName val="0"/>
          <c:showPercent val="0"/>
          <c:showBubbleSize val="0"/>
        </c:dLbl>
      </c:pivotFmt>
      <c:pivotFmt>
        <c:idx val="5"/>
        <c:marker>
          <c:symbol val="none"/>
        </c:marker>
        <c:dLbl>
          <c:idx val="0"/>
          <c:spPr/>
          <c:txPr>
            <a:bodyPr/>
            <a:lstStyle/>
            <a:p>
              <a:pPr>
                <a:defRPr/>
              </a:pPr>
              <a:endParaRPr lang="es-ES"/>
            </a:p>
          </c:txPr>
          <c:showLegendKey val="0"/>
          <c:showVal val="1"/>
          <c:showCatName val="0"/>
          <c:showSerName val="0"/>
          <c:showPercent val="0"/>
          <c:showBubbleSize val="0"/>
        </c:dLbl>
      </c:pivotFmt>
      <c:pivotFmt>
        <c:idx val="6"/>
        <c:marker>
          <c:symbol val="none"/>
        </c:marker>
        <c:dLbl>
          <c:idx val="0"/>
          <c:spPr/>
          <c:txPr>
            <a:bodyPr/>
            <a:lstStyle/>
            <a:p>
              <a:pPr>
                <a:defRPr/>
              </a:pPr>
              <a:endParaRPr lang="es-ES"/>
            </a:p>
          </c:txPr>
          <c:showLegendKey val="0"/>
          <c:showVal val="1"/>
          <c:showCatName val="0"/>
          <c:showSerName val="0"/>
          <c:showPercent val="0"/>
          <c:showBubbleSize val="0"/>
        </c:dLbl>
      </c:pivotFmt>
      <c:pivotFmt>
        <c:idx val="7"/>
        <c:marker>
          <c:symbol val="none"/>
        </c:marker>
        <c:dLbl>
          <c:idx val="0"/>
          <c:spPr/>
          <c:txPr>
            <a:bodyPr/>
            <a:lstStyle/>
            <a:p>
              <a:pPr>
                <a:defRPr/>
              </a:pPr>
              <a:endParaRPr lang="es-ES"/>
            </a:p>
          </c:txPr>
          <c:showLegendKey val="0"/>
          <c:showVal val="1"/>
          <c:showCatName val="0"/>
          <c:showSerName val="0"/>
          <c:showPercent val="0"/>
          <c:showBubbleSize val="0"/>
        </c:dLbl>
      </c:pivotFmt>
      <c:pivotFmt>
        <c:idx val="8"/>
        <c:marker>
          <c:symbol val="none"/>
        </c:marker>
        <c:dLbl>
          <c:idx val="0"/>
          <c:spPr/>
          <c:txPr>
            <a:bodyPr/>
            <a:lstStyle/>
            <a:p>
              <a:pPr>
                <a:defRPr/>
              </a:pPr>
              <a:endParaRPr lang="es-ES"/>
            </a:p>
          </c:txPr>
          <c:showLegendKey val="0"/>
          <c:showVal val="1"/>
          <c:showCatName val="0"/>
          <c:showSerName val="0"/>
          <c:showPercent val="0"/>
          <c:showBubbleSize val="0"/>
        </c:dLbl>
      </c:pivotFmt>
      <c:pivotFmt>
        <c:idx val="9"/>
        <c:marker>
          <c:symbol val="none"/>
        </c:marker>
        <c:dLbl>
          <c:idx val="0"/>
          <c:spPr/>
          <c:txPr>
            <a:bodyPr/>
            <a:lstStyle/>
            <a:p>
              <a:pPr>
                <a:defRPr/>
              </a:pPr>
              <a:endParaRPr lang="es-ES"/>
            </a:p>
          </c:txPr>
          <c:showLegendKey val="0"/>
          <c:showVal val="1"/>
          <c:showCatName val="0"/>
          <c:showSerName val="0"/>
          <c:showPercent val="0"/>
          <c:showBubbleSize val="0"/>
        </c:dLbl>
      </c:pivotFmt>
      <c:pivotFmt>
        <c:idx val="10"/>
        <c:marker>
          <c:symbol val="none"/>
        </c:marker>
        <c:dLbl>
          <c:idx val="0"/>
          <c:spPr/>
          <c:txPr>
            <a:bodyPr/>
            <a:lstStyle/>
            <a:p>
              <a:pPr>
                <a:defRPr/>
              </a:pPr>
              <a:endParaRPr lang="es-ES"/>
            </a:p>
          </c:txPr>
          <c:showLegendKey val="0"/>
          <c:showVal val="1"/>
          <c:showCatName val="0"/>
          <c:showSerName val="0"/>
          <c:showPercent val="0"/>
          <c:showBubbleSize val="0"/>
        </c:dLbl>
      </c:pivotFmt>
      <c:pivotFmt>
        <c:idx val="11"/>
        <c:marker>
          <c:symbol val="none"/>
        </c:marker>
        <c:dLbl>
          <c:idx val="0"/>
          <c:spPr/>
          <c:txPr>
            <a:bodyPr/>
            <a:lstStyle/>
            <a:p>
              <a:pPr>
                <a:defRPr/>
              </a:pPr>
              <a:endParaRPr lang="es-ES"/>
            </a:p>
          </c:txPr>
          <c:showLegendKey val="0"/>
          <c:showVal val="1"/>
          <c:showCatName val="0"/>
          <c:showSerName val="0"/>
          <c:showPercent val="0"/>
          <c:showBubbleSize val="0"/>
        </c:dLbl>
      </c:pivotFmt>
      <c:pivotFmt>
        <c:idx val="12"/>
        <c:marker>
          <c:symbol val="none"/>
        </c:marker>
        <c:dLbl>
          <c:idx val="0"/>
          <c:spPr/>
          <c:txPr>
            <a:bodyPr/>
            <a:lstStyle/>
            <a:p>
              <a:pPr>
                <a:defRPr/>
              </a:pPr>
              <a:endParaRPr lang="es-ES"/>
            </a:p>
          </c:txPr>
          <c:showLegendKey val="0"/>
          <c:showVal val="1"/>
          <c:showCatName val="0"/>
          <c:showSerName val="0"/>
          <c:showPercent val="0"/>
          <c:showBubbleSize val="0"/>
        </c:dLbl>
      </c:pivotFmt>
      <c:pivotFmt>
        <c:idx val="13"/>
        <c:marker>
          <c:symbol val="none"/>
        </c:marker>
        <c:dLbl>
          <c:idx val="0"/>
          <c:spPr/>
          <c:txPr>
            <a:bodyPr/>
            <a:lstStyle/>
            <a:p>
              <a:pPr>
                <a:defRPr/>
              </a:pPr>
              <a:endParaRPr lang="es-ES"/>
            </a:p>
          </c:txPr>
          <c:showLegendKey val="0"/>
          <c:showVal val="1"/>
          <c:showCatName val="0"/>
          <c:showSerName val="0"/>
          <c:showPercent val="0"/>
          <c:showBubbleSize val="0"/>
        </c:dLbl>
      </c:pivotFmt>
      <c:pivotFmt>
        <c:idx val="14"/>
        <c:marker>
          <c:symbol val="none"/>
        </c:marker>
        <c:dLbl>
          <c:idx val="0"/>
          <c:spPr/>
          <c:txPr>
            <a:bodyPr/>
            <a:lstStyle/>
            <a:p>
              <a:pPr>
                <a:defRPr/>
              </a:pPr>
              <a:endParaRPr lang="es-ES"/>
            </a:p>
          </c:txPr>
          <c:showLegendKey val="0"/>
          <c:showVal val="1"/>
          <c:showCatName val="0"/>
          <c:showSerName val="0"/>
          <c:showPercent val="0"/>
          <c:showBubbleSize val="0"/>
        </c:dLbl>
      </c:pivotFmt>
      <c:pivotFmt>
        <c:idx val="15"/>
        <c:marker>
          <c:symbol val="none"/>
        </c:marker>
        <c:dLbl>
          <c:idx val="0"/>
          <c:spPr/>
          <c:txPr>
            <a:bodyPr/>
            <a:lstStyle/>
            <a:p>
              <a:pPr>
                <a:defRPr/>
              </a:pPr>
              <a:endParaRPr lang="es-ES"/>
            </a:p>
          </c:txPr>
          <c:showLegendKey val="0"/>
          <c:showVal val="1"/>
          <c:showCatName val="0"/>
          <c:showSerName val="0"/>
          <c:showPercent val="0"/>
          <c:showBubbleSize val="0"/>
        </c:dLbl>
      </c:pivotFmt>
      <c:pivotFmt>
        <c:idx val="16"/>
        <c:marker>
          <c:symbol val="none"/>
        </c:marker>
        <c:dLbl>
          <c:idx val="0"/>
          <c:spPr/>
          <c:txPr>
            <a:bodyPr/>
            <a:lstStyle/>
            <a:p>
              <a:pPr>
                <a:defRPr/>
              </a:pPr>
              <a:endParaRPr lang="es-ES"/>
            </a:p>
          </c:txPr>
          <c:showLegendKey val="0"/>
          <c:showVal val="1"/>
          <c:showCatName val="0"/>
          <c:showSerName val="0"/>
          <c:showPercent val="0"/>
          <c:showBubbleSize val="0"/>
        </c:dLbl>
      </c:pivotFmt>
    </c:pivotFmts>
    <c:view3D>
      <c:rotX val="15"/>
      <c:rotY val="0"/>
      <c:rAngAx val="0"/>
      <c:perspective val="30"/>
    </c:view3D>
    <c:floor>
      <c:thickness val="0"/>
    </c:floor>
    <c:sideWall>
      <c:thickness val="0"/>
    </c:sideWall>
    <c:backWall>
      <c:thickness val="0"/>
    </c:backWall>
    <c:plotArea>
      <c:layout/>
      <c:pie3DChart>
        <c:varyColors val="1"/>
        <c:ser>
          <c:idx val="0"/>
          <c:order val="0"/>
          <c:tx>
            <c:strRef>
              <c:f>'Gráfico sectores por tamaño'!$B$28</c:f>
              <c:strCache>
                <c:ptCount val="1"/>
                <c:pt idx="0">
                  <c:v>Total</c:v>
                </c:pt>
              </c:strCache>
            </c:strRef>
          </c:tx>
          <c:dLbls>
            <c:txPr>
              <a:bodyPr/>
              <a:lstStyle/>
              <a:p>
                <a:pPr>
                  <a:defRPr/>
                </a:pPr>
                <a:endParaRPr lang="es-ES"/>
              </a:p>
            </c:txPr>
            <c:showLegendKey val="0"/>
            <c:showVal val="1"/>
            <c:showCatName val="0"/>
            <c:showSerName val="0"/>
            <c:showPercent val="0"/>
            <c:showBubbleSize val="0"/>
            <c:showLeaderLines val="1"/>
          </c:dLbls>
          <c:cat>
            <c:strRef>
              <c:f>'Gráfico sectores por tamaño'!$A$29:$A$36</c:f>
              <c:strCache>
                <c:ptCount val="7"/>
                <c:pt idx="0">
                  <c:v>a hasta 100 habitantes</c:v>
                </c:pt>
                <c:pt idx="1">
                  <c:v>b de 101 a 500</c:v>
                </c:pt>
                <c:pt idx="2">
                  <c:v>c de 501 a 1000</c:v>
                </c:pt>
                <c:pt idx="3">
                  <c:v>d de 1001 a 5000</c:v>
                </c:pt>
                <c:pt idx="4">
                  <c:v>e de 5001 a 10000</c:v>
                </c:pt>
                <c:pt idx="5">
                  <c:v>f de 10001 a 20000</c:v>
                </c:pt>
                <c:pt idx="6">
                  <c:v>g mas de 20001</c:v>
                </c:pt>
              </c:strCache>
            </c:strRef>
          </c:cat>
          <c:val>
            <c:numRef>
              <c:f>'Gráfico sectores por tamaño'!$B$29:$B$36</c:f>
              <c:numCache>
                <c:formatCode>General</c:formatCode>
                <c:ptCount val="7"/>
                <c:pt idx="0">
                  <c:v>9</c:v>
                </c:pt>
                <c:pt idx="1">
                  <c:v>36</c:v>
                </c:pt>
                <c:pt idx="2">
                  <c:v>3</c:v>
                </c:pt>
                <c:pt idx="3">
                  <c:v>5</c:v>
                </c:pt>
                <c:pt idx="4">
                  <c:v>0</c:v>
                </c:pt>
                <c:pt idx="5">
                  <c:v>0</c:v>
                </c:pt>
                <c:pt idx="6">
                  <c:v>0</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[movimientos naturales poblacion.xlsx]nacimientos grupo!Tabla dinámica10</c:name>
    <c:fmtId val="-1"/>
  </c:pivotSource>
  <c:chart>
    <c:title>
      <c:tx>
        <c:rich>
          <a:bodyPr/>
          <a:lstStyle/>
          <a:p>
            <a:pPr>
              <a:defRPr sz="1400"/>
            </a:pPr>
            <a:r>
              <a:rPr lang="es-ES" sz="1400"/>
              <a:t>Histórico de nacimientos (CEDESOR)</a:t>
            </a:r>
          </a:p>
        </c:rich>
      </c:tx>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s>
    <c:view3D>
      <c:rotX val="15"/>
      <c:rotY val="20"/>
      <c:rAngAx val="0"/>
      <c:perspective val="30"/>
    </c:view3D>
    <c:floor>
      <c:thickness val="0"/>
    </c:floor>
    <c:sideWall>
      <c:thickness val="0"/>
    </c:sideWall>
    <c:backWall>
      <c:thickness val="0"/>
    </c:backWall>
    <c:plotArea>
      <c:layout>
        <c:manualLayout>
          <c:layoutTarget val="inner"/>
          <c:xMode val="edge"/>
          <c:yMode val="edge"/>
          <c:x val="7.9929037562684727E-2"/>
          <c:y val="0.10519999850090134"/>
          <c:w val="0.90134909123201701"/>
          <c:h val="0.7126093195888682"/>
        </c:manualLayout>
      </c:layout>
      <c:bar3DChart>
        <c:barDir val="col"/>
        <c:grouping val="clustered"/>
        <c:varyColors val="0"/>
        <c:ser>
          <c:idx val="0"/>
          <c:order val="0"/>
          <c:tx>
            <c:strRef>
              <c:f>'nacimientos grupo'!$B$5:$B$6</c:f>
              <c:strCache>
                <c:ptCount val="1"/>
                <c:pt idx="0">
                  <c:v>Año 2012</c:v>
                </c:pt>
              </c:strCache>
            </c:strRef>
          </c:tx>
          <c:invertIfNegative val="0"/>
          <c:cat>
            <c:strRef>
              <c:f>'nacimientos grupo'!$A$7:$A$8</c:f>
              <c:strCache>
                <c:ptCount val="1"/>
                <c:pt idx="0">
                  <c:v>CEDESOR</c:v>
                </c:pt>
              </c:strCache>
            </c:strRef>
          </c:cat>
          <c:val>
            <c:numRef>
              <c:f>'nacimientos grupo'!$B$7:$B$8</c:f>
              <c:numCache>
                <c:formatCode>General</c:formatCode>
                <c:ptCount val="1"/>
                <c:pt idx="0">
                  <c:v>141</c:v>
                </c:pt>
              </c:numCache>
            </c:numRef>
          </c:val>
        </c:ser>
        <c:ser>
          <c:idx val="1"/>
          <c:order val="1"/>
          <c:tx>
            <c:strRef>
              <c:f>'nacimientos grupo'!$C$5:$C$6</c:f>
              <c:strCache>
                <c:ptCount val="1"/>
                <c:pt idx="0">
                  <c:v>Año 2011</c:v>
                </c:pt>
              </c:strCache>
            </c:strRef>
          </c:tx>
          <c:invertIfNegative val="0"/>
          <c:cat>
            <c:strRef>
              <c:f>'nacimientos grupo'!$A$7:$A$8</c:f>
              <c:strCache>
                <c:ptCount val="1"/>
                <c:pt idx="0">
                  <c:v>CEDESOR</c:v>
                </c:pt>
              </c:strCache>
            </c:strRef>
          </c:cat>
          <c:val>
            <c:numRef>
              <c:f>'nacimientos grupo'!$C$7:$C$8</c:f>
              <c:numCache>
                <c:formatCode>General</c:formatCode>
                <c:ptCount val="1"/>
                <c:pt idx="0">
                  <c:v>147</c:v>
                </c:pt>
              </c:numCache>
            </c:numRef>
          </c:val>
        </c:ser>
        <c:ser>
          <c:idx val="2"/>
          <c:order val="2"/>
          <c:tx>
            <c:strRef>
              <c:f>'nacimientos grupo'!$D$5:$D$6</c:f>
              <c:strCache>
                <c:ptCount val="1"/>
                <c:pt idx="0">
                  <c:v>Año 2010</c:v>
                </c:pt>
              </c:strCache>
            </c:strRef>
          </c:tx>
          <c:invertIfNegative val="0"/>
          <c:cat>
            <c:strRef>
              <c:f>'nacimientos grupo'!$A$7:$A$8</c:f>
              <c:strCache>
                <c:ptCount val="1"/>
                <c:pt idx="0">
                  <c:v>CEDESOR</c:v>
                </c:pt>
              </c:strCache>
            </c:strRef>
          </c:cat>
          <c:val>
            <c:numRef>
              <c:f>'nacimientos grupo'!$D$7:$D$8</c:f>
              <c:numCache>
                <c:formatCode>General</c:formatCode>
                <c:ptCount val="1"/>
                <c:pt idx="0">
                  <c:v>131</c:v>
                </c:pt>
              </c:numCache>
            </c:numRef>
          </c:val>
        </c:ser>
        <c:ser>
          <c:idx val="3"/>
          <c:order val="3"/>
          <c:tx>
            <c:strRef>
              <c:f>'nacimientos grupo'!$E$5:$E$6</c:f>
              <c:strCache>
                <c:ptCount val="1"/>
                <c:pt idx="0">
                  <c:v>Año 2009</c:v>
                </c:pt>
              </c:strCache>
            </c:strRef>
          </c:tx>
          <c:invertIfNegative val="0"/>
          <c:cat>
            <c:strRef>
              <c:f>'nacimientos grupo'!$A$7:$A$8</c:f>
              <c:strCache>
                <c:ptCount val="1"/>
                <c:pt idx="0">
                  <c:v>CEDESOR</c:v>
                </c:pt>
              </c:strCache>
            </c:strRef>
          </c:cat>
          <c:val>
            <c:numRef>
              <c:f>'nacimientos grupo'!$E$7:$E$8</c:f>
              <c:numCache>
                <c:formatCode>General</c:formatCode>
                <c:ptCount val="1"/>
                <c:pt idx="0">
                  <c:v>154</c:v>
                </c:pt>
              </c:numCache>
            </c:numRef>
          </c:val>
        </c:ser>
        <c:ser>
          <c:idx val="4"/>
          <c:order val="4"/>
          <c:tx>
            <c:strRef>
              <c:f>'nacimientos grupo'!$F$5:$F$6</c:f>
              <c:strCache>
                <c:ptCount val="1"/>
                <c:pt idx="0">
                  <c:v>Año 2008</c:v>
                </c:pt>
              </c:strCache>
            </c:strRef>
          </c:tx>
          <c:invertIfNegative val="0"/>
          <c:cat>
            <c:strRef>
              <c:f>'nacimientos grupo'!$A$7:$A$8</c:f>
              <c:strCache>
                <c:ptCount val="1"/>
                <c:pt idx="0">
                  <c:v>CEDESOR</c:v>
                </c:pt>
              </c:strCache>
            </c:strRef>
          </c:cat>
          <c:val>
            <c:numRef>
              <c:f>'nacimientos grupo'!$F$7:$F$8</c:f>
              <c:numCache>
                <c:formatCode>General</c:formatCode>
                <c:ptCount val="1"/>
                <c:pt idx="0">
                  <c:v>166</c:v>
                </c:pt>
              </c:numCache>
            </c:numRef>
          </c:val>
        </c:ser>
        <c:ser>
          <c:idx val="5"/>
          <c:order val="5"/>
          <c:tx>
            <c:strRef>
              <c:f>'nacimientos grupo'!$G$5:$G$6</c:f>
              <c:strCache>
                <c:ptCount val="1"/>
                <c:pt idx="0">
                  <c:v>Año 2007</c:v>
                </c:pt>
              </c:strCache>
            </c:strRef>
          </c:tx>
          <c:invertIfNegative val="0"/>
          <c:cat>
            <c:strRef>
              <c:f>'nacimientos grupo'!$A$7:$A$8</c:f>
              <c:strCache>
                <c:ptCount val="1"/>
                <c:pt idx="0">
                  <c:v>CEDESOR</c:v>
                </c:pt>
              </c:strCache>
            </c:strRef>
          </c:cat>
          <c:val>
            <c:numRef>
              <c:f>'nacimientos grupo'!$G$7:$G$8</c:f>
              <c:numCache>
                <c:formatCode>General</c:formatCode>
                <c:ptCount val="1"/>
                <c:pt idx="0">
                  <c:v>148</c:v>
                </c:pt>
              </c:numCache>
            </c:numRef>
          </c:val>
        </c:ser>
        <c:dLbls>
          <c:showLegendKey val="0"/>
          <c:showVal val="0"/>
          <c:showCatName val="0"/>
          <c:showSerName val="0"/>
          <c:showPercent val="0"/>
          <c:showBubbleSize val="0"/>
        </c:dLbls>
        <c:gapWidth val="150"/>
        <c:shape val="cylinder"/>
        <c:axId val="107608064"/>
        <c:axId val="106033664"/>
        <c:axId val="0"/>
      </c:bar3DChart>
      <c:catAx>
        <c:axId val="107608064"/>
        <c:scaling>
          <c:orientation val="minMax"/>
        </c:scaling>
        <c:delete val="0"/>
        <c:axPos val="b"/>
        <c:majorTickMark val="out"/>
        <c:minorTickMark val="none"/>
        <c:tickLblPos val="nextTo"/>
        <c:crossAx val="106033664"/>
        <c:crosses val="autoZero"/>
        <c:auto val="1"/>
        <c:lblAlgn val="ctr"/>
        <c:lblOffset val="100"/>
        <c:noMultiLvlLbl val="0"/>
      </c:catAx>
      <c:valAx>
        <c:axId val="106033664"/>
        <c:scaling>
          <c:orientation val="minMax"/>
        </c:scaling>
        <c:delete val="0"/>
        <c:axPos val="l"/>
        <c:majorGridlines/>
        <c:numFmt formatCode="General" sourceLinked="1"/>
        <c:majorTickMark val="out"/>
        <c:minorTickMark val="none"/>
        <c:tickLblPos val="nextTo"/>
        <c:crossAx val="107608064"/>
        <c:crosses val="autoZero"/>
        <c:crossBetween val="between"/>
      </c:valAx>
    </c:plotArea>
    <c:legend>
      <c:legendPos val="b"/>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[movimientos naturales poblacion.xlsx]defunciones grupo!Tabla dinámica11</c:name>
    <c:fmtId val="-1"/>
  </c:pivotSource>
  <c:chart>
    <c:title>
      <c:tx>
        <c:rich>
          <a:bodyPr/>
          <a:lstStyle/>
          <a:p>
            <a:pPr>
              <a:defRPr sz="1400"/>
            </a:pPr>
            <a:r>
              <a:rPr lang="es-ES" sz="1400"/>
              <a:t>Histórico</a:t>
            </a:r>
            <a:r>
              <a:rPr lang="es-ES" sz="1400" baseline="0"/>
              <a:t> de defunciones (CEDESOR)</a:t>
            </a:r>
            <a:endParaRPr lang="es-ES" sz="1400"/>
          </a:p>
        </c:rich>
      </c:tx>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s>
    <c:view3D>
      <c:rotX val="15"/>
      <c:rotY val="20"/>
      <c:rAngAx val="0"/>
      <c:perspective val="30"/>
    </c:view3D>
    <c:floor>
      <c:thickness val="0"/>
    </c:floor>
    <c:sideWall>
      <c:thickness val="0"/>
    </c:sideWall>
    <c:backWall>
      <c:thickness val="0"/>
    </c:backWall>
    <c:plotArea>
      <c:layout>
        <c:manualLayout>
          <c:layoutTarget val="inner"/>
          <c:xMode val="edge"/>
          <c:yMode val="edge"/>
          <c:x val="7.9929037562684727E-2"/>
          <c:y val="0.15481592675480024"/>
          <c:w val="0.90134909123201701"/>
          <c:h val="0.70001450889355965"/>
        </c:manualLayout>
      </c:layout>
      <c:bar3DChart>
        <c:barDir val="col"/>
        <c:grouping val="clustered"/>
        <c:varyColors val="0"/>
        <c:ser>
          <c:idx val="0"/>
          <c:order val="0"/>
          <c:tx>
            <c:strRef>
              <c:f>'defunciones grupo'!$B$5:$B$6</c:f>
              <c:strCache>
                <c:ptCount val="1"/>
                <c:pt idx="0">
                  <c:v>Año 2012</c:v>
                </c:pt>
              </c:strCache>
            </c:strRef>
          </c:tx>
          <c:invertIfNegative val="0"/>
          <c:cat>
            <c:strRef>
              <c:f>'defunciones grupo'!$A$7:$A$8</c:f>
              <c:strCache>
                <c:ptCount val="1"/>
                <c:pt idx="0">
                  <c:v>CEDESOR</c:v>
                </c:pt>
              </c:strCache>
            </c:strRef>
          </c:cat>
          <c:val>
            <c:numRef>
              <c:f>'defunciones grupo'!$B$7:$B$8</c:f>
              <c:numCache>
                <c:formatCode>General</c:formatCode>
                <c:ptCount val="1"/>
                <c:pt idx="0">
                  <c:v>250</c:v>
                </c:pt>
              </c:numCache>
            </c:numRef>
          </c:val>
        </c:ser>
        <c:ser>
          <c:idx val="1"/>
          <c:order val="1"/>
          <c:tx>
            <c:strRef>
              <c:f>'defunciones grupo'!$C$5:$C$6</c:f>
              <c:strCache>
                <c:ptCount val="1"/>
                <c:pt idx="0">
                  <c:v>Año 2011</c:v>
                </c:pt>
              </c:strCache>
            </c:strRef>
          </c:tx>
          <c:invertIfNegative val="0"/>
          <c:cat>
            <c:strRef>
              <c:f>'defunciones grupo'!$A$7:$A$8</c:f>
              <c:strCache>
                <c:ptCount val="1"/>
                <c:pt idx="0">
                  <c:v>CEDESOR</c:v>
                </c:pt>
              </c:strCache>
            </c:strRef>
          </c:cat>
          <c:val>
            <c:numRef>
              <c:f>'defunciones grupo'!$C$7:$C$8</c:f>
              <c:numCache>
                <c:formatCode>General</c:formatCode>
                <c:ptCount val="1"/>
                <c:pt idx="0">
                  <c:v>207</c:v>
                </c:pt>
              </c:numCache>
            </c:numRef>
          </c:val>
        </c:ser>
        <c:ser>
          <c:idx val="2"/>
          <c:order val="2"/>
          <c:tx>
            <c:strRef>
              <c:f>'defunciones grupo'!$D$5:$D$6</c:f>
              <c:strCache>
                <c:ptCount val="1"/>
                <c:pt idx="0">
                  <c:v>Año 2010</c:v>
                </c:pt>
              </c:strCache>
            </c:strRef>
          </c:tx>
          <c:invertIfNegative val="0"/>
          <c:cat>
            <c:strRef>
              <c:f>'defunciones grupo'!$A$7:$A$8</c:f>
              <c:strCache>
                <c:ptCount val="1"/>
                <c:pt idx="0">
                  <c:v>CEDESOR</c:v>
                </c:pt>
              </c:strCache>
            </c:strRef>
          </c:cat>
          <c:val>
            <c:numRef>
              <c:f>'defunciones grupo'!$D$7:$D$8</c:f>
              <c:numCache>
                <c:formatCode>General</c:formatCode>
                <c:ptCount val="1"/>
                <c:pt idx="0">
                  <c:v>219</c:v>
                </c:pt>
              </c:numCache>
            </c:numRef>
          </c:val>
        </c:ser>
        <c:ser>
          <c:idx val="3"/>
          <c:order val="3"/>
          <c:tx>
            <c:strRef>
              <c:f>'defunciones grupo'!$E$5:$E$6</c:f>
              <c:strCache>
                <c:ptCount val="1"/>
                <c:pt idx="0">
                  <c:v>Año 2009</c:v>
                </c:pt>
              </c:strCache>
            </c:strRef>
          </c:tx>
          <c:invertIfNegative val="0"/>
          <c:cat>
            <c:strRef>
              <c:f>'defunciones grupo'!$A$7:$A$8</c:f>
              <c:strCache>
                <c:ptCount val="1"/>
                <c:pt idx="0">
                  <c:v>CEDESOR</c:v>
                </c:pt>
              </c:strCache>
            </c:strRef>
          </c:cat>
          <c:val>
            <c:numRef>
              <c:f>'defunciones grupo'!$E$7:$E$8</c:f>
              <c:numCache>
                <c:formatCode>General</c:formatCode>
                <c:ptCount val="1"/>
                <c:pt idx="0">
                  <c:v>234</c:v>
                </c:pt>
              </c:numCache>
            </c:numRef>
          </c:val>
        </c:ser>
        <c:ser>
          <c:idx val="4"/>
          <c:order val="4"/>
          <c:tx>
            <c:strRef>
              <c:f>'defunciones grupo'!$F$5:$F$6</c:f>
              <c:strCache>
                <c:ptCount val="1"/>
                <c:pt idx="0">
                  <c:v>Año 2008</c:v>
                </c:pt>
              </c:strCache>
            </c:strRef>
          </c:tx>
          <c:invertIfNegative val="0"/>
          <c:cat>
            <c:strRef>
              <c:f>'defunciones grupo'!$A$7:$A$8</c:f>
              <c:strCache>
                <c:ptCount val="1"/>
                <c:pt idx="0">
                  <c:v>CEDESOR</c:v>
                </c:pt>
              </c:strCache>
            </c:strRef>
          </c:cat>
          <c:val>
            <c:numRef>
              <c:f>'defunciones grupo'!$F$7:$F$8</c:f>
              <c:numCache>
                <c:formatCode>General</c:formatCode>
                <c:ptCount val="1"/>
                <c:pt idx="0">
                  <c:v>255</c:v>
                </c:pt>
              </c:numCache>
            </c:numRef>
          </c:val>
        </c:ser>
        <c:ser>
          <c:idx val="5"/>
          <c:order val="5"/>
          <c:tx>
            <c:strRef>
              <c:f>'defunciones grupo'!$G$5:$G$6</c:f>
              <c:strCache>
                <c:ptCount val="1"/>
                <c:pt idx="0">
                  <c:v>Año 2007</c:v>
                </c:pt>
              </c:strCache>
            </c:strRef>
          </c:tx>
          <c:invertIfNegative val="0"/>
          <c:cat>
            <c:strRef>
              <c:f>'defunciones grupo'!$A$7:$A$8</c:f>
              <c:strCache>
                <c:ptCount val="1"/>
                <c:pt idx="0">
                  <c:v>CEDESOR</c:v>
                </c:pt>
              </c:strCache>
            </c:strRef>
          </c:cat>
          <c:val>
            <c:numRef>
              <c:f>'defunciones grupo'!$G$7:$G$8</c:f>
              <c:numCache>
                <c:formatCode>General</c:formatCode>
                <c:ptCount val="1"/>
                <c:pt idx="0">
                  <c:v>236</c:v>
                </c:pt>
              </c:numCache>
            </c:numRef>
          </c:val>
        </c:ser>
        <c:ser>
          <c:idx val="6"/>
          <c:order val="6"/>
          <c:tx>
            <c:strRef>
              <c:f>'defunciones grupo'!$H$5:$H$6</c:f>
              <c:strCache>
                <c:ptCount val="1"/>
                <c:pt idx="0">
                  <c:v>Año 2006</c:v>
                </c:pt>
              </c:strCache>
            </c:strRef>
          </c:tx>
          <c:invertIfNegative val="0"/>
          <c:cat>
            <c:strRef>
              <c:f>'defunciones grupo'!$A$7:$A$8</c:f>
              <c:strCache>
                <c:ptCount val="1"/>
                <c:pt idx="0">
                  <c:v>CEDESOR</c:v>
                </c:pt>
              </c:strCache>
            </c:strRef>
          </c:cat>
          <c:val>
            <c:numRef>
              <c:f>'defunciones grupo'!$H$7:$H$8</c:f>
              <c:numCache>
                <c:formatCode>General</c:formatCode>
                <c:ptCount val="1"/>
                <c:pt idx="0">
                  <c:v>217</c:v>
                </c:pt>
              </c:numCache>
            </c:numRef>
          </c:val>
        </c:ser>
        <c:dLbls>
          <c:showLegendKey val="0"/>
          <c:showVal val="0"/>
          <c:showCatName val="0"/>
          <c:showSerName val="0"/>
          <c:showPercent val="0"/>
          <c:showBubbleSize val="0"/>
        </c:dLbls>
        <c:gapWidth val="150"/>
        <c:shape val="cylinder"/>
        <c:axId val="111292928"/>
        <c:axId val="106035392"/>
        <c:axId val="0"/>
      </c:bar3DChart>
      <c:catAx>
        <c:axId val="111292928"/>
        <c:scaling>
          <c:orientation val="minMax"/>
        </c:scaling>
        <c:delete val="0"/>
        <c:axPos val="b"/>
        <c:majorTickMark val="out"/>
        <c:minorTickMark val="none"/>
        <c:tickLblPos val="nextTo"/>
        <c:crossAx val="106035392"/>
        <c:crosses val="autoZero"/>
        <c:auto val="1"/>
        <c:lblAlgn val="ctr"/>
        <c:lblOffset val="100"/>
        <c:noMultiLvlLbl val="0"/>
      </c:catAx>
      <c:valAx>
        <c:axId val="106035392"/>
        <c:scaling>
          <c:orientation val="minMax"/>
        </c:scaling>
        <c:delete val="0"/>
        <c:axPos val="l"/>
        <c:majorGridlines/>
        <c:numFmt formatCode="General" sourceLinked="1"/>
        <c:majorTickMark val="out"/>
        <c:minorTickMark val="none"/>
        <c:tickLblPos val="nextTo"/>
        <c:crossAx val="111292928"/>
        <c:crosses val="autoZero"/>
        <c:crossBetween val="between"/>
      </c:valAx>
    </c:plotArea>
    <c:legend>
      <c:legendPos val="b"/>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[movimientos naturales poblacion.xlsx]variación residencia grupo!Tabla dinámica12</c:name>
    <c:fmtId val="-1"/>
  </c:pivotSource>
  <c:chart>
    <c:title>
      <c:tx>
        <c:rich>
          <a:bodyPr/>
          <a:lstStyle/>
          <a:p>
            <a:pPr>
              <a:defRPr sz="1400"/>
            </a:pPr>
            <a:r>
              <a:rPr lang="es-ES" sz="1400"/>
              <a:t>Saldo por</a:t>
            </a:r>
            <a:r>
              <a:rPr lang="es-ES" sz="1400" baseline="0"/>
              <a:t> variación residencia</a:t>
            </a:r>
            <a:endParaRPr lang="es-ES" sz="1400"/>
          </a:p>
        </c:rich>
      </c:tx>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s>
    <c:view3D>
      <c:rotX val="15"/>
      <c:rotY val="20"/>
      <c:rAngAx val="0"/>
      <c:perspective val="30"/>
    </c:view3D>
    <c:floor>
      <c:thickness val="0"/>
    </c:floor>
    <c:sideWall>
      <c:thickness val="0"/>
    </c:sideWall>
    <c:backWall>
      <c:thickness val="0"/>
    </c:backWall>
    <c:plotArea>
      <c:layout>
        <c:manualLayout>
          <c:layoutTarget val="inner"/>
          <c:xMode val="edge"/>
          <c:yMode val="edge"/>
          <c:x val="9.6442262151441596E-2"/>
          <c:y val="0.15475708171333355"/>
          <c:w val="0.8941592416079569"/>
          <c:h val="0.63571290321997143"/>
        </c:manualLayout>
      </c:layout>
      <c:bar3DChart>
        <c:barDir val="col"/>
        <c:grouping val="clustered"/>
        <c:varyColors val="0"/>
        <c:ser>
          <c:idx val="0"/>
          <c:order val="0"/>
          <c:tx>
            <c:strRef>
              <c:f>'variación residencia grupo'!$B$5:$B$6</c:f>
              <c:strCache>
                <c:ptCount val="1"/>
                <c:pt idx="0">
                  <c:v>Año 2013</c:v>
                </c:pt>
              </c:strCache>
            </c:strRef>
          </c:tx>
          <c:invertIfNegative val="0"/>
          <c:cat>
            <c:strRef>
              <c:f>'variación residencia grupo'!$A$7:$A$8</c:f>
              <c:strCache>
                <c:ptCount val="1"/>
                <c:pt idx="0">
                  <c:v>CEDESOR</c:v>
                </c:pt>
              </c:strCache>
            </c:strRef>
          </c:cat>
          <c:val>
            <c:numRef>
              <c:f>'variación residencia grupo'!$B$7:$B$8</c:f>
              <c:numCache>
                <c:formatCode>General</c:formatCode>
                <c:ptCount val="1"/>
                <c:pt idx="0">
                  <c:v>-146</c:v>
                </c:pt>
              </c:numCache>
            </c:numRef>
          </c:val>
        </c:ser>
        <c:ser>
          <c:idx val="1"/>
          <c:order val="1"/>
          <c:tx>
            <c:strRef>
              <c:f>'variación residencia grupo'!$C$5:$C$6</c:f>
              <c:strCache>
                <c:ptCount val="1"/>
                <c:pt idx="0">
                  <c:v>Año 2012</c:v>
                </c:pt>
              </c:strCache>
            </c:strRef>
          </c:tx>
          <c:invertIfNegative val="0"/>
          <c:cat>
            <c:strRef>
              <c:f>'variación residencia grupo'!$A$7:$A$8</c:f>
              <c:strCache>
                <c:ptCount val="1"/>
                <c:pt idx="0">
                  <c:v>CEDESOR</c:v>
                </c:pt>
              </c:strCache>
            </c:strRef>
          </c:cat>
          <c:val>
            <c:numRef>
              <c:f>'variación residencia grupo'!$C$7:$C$8</c:f>
              <c:numCache>
                <c:formatCode>General</c:formatCode>
                <c:ptCount val="1"/>
                <c:pt idx="0">
                  <c:v>-248</c:v>
                </c:pt>
              </c:numCache>
            </c:numRef>
          </c:val>
        </c:ser>
        <c:ser>
          <c:idx val="2"/>
          <c:order val="2"/>
          <c:tx>
            <c:strRef>
              <c:f>'variación residencia grupo'!$D$5:$D$6</c:f>
              <c:strCache>
                <c:ptCount val="1"/>
                <c:pt idx="0">
                  <c:v>Año 2011</c:v>
                </c:pt>
              </c:strCache>
            </c:strRef>
          </c:tx>
          <c:invertIfNegative val="0"/>
          <c:cat>
            <c:strRef>
              <c:f>'variación residencia grupo'!$A$7:$A$8</c:f>
              <c:strCache>
                <c:ptCount val="1"/>
                <c:pt idx="0">
                  <c:v>CEDESOR</c:v>
                </c:pt>
              </c:strCache>
            </c:strRef>
          </c:cat>
          <c:val>
            <c:numRef>
              <c:f>'variación residencia grupo'!$D$7:$D$8</c:f>
              <c:numCache>
                <c:formatCode>General</c:formatCode>
                <c:ptCount val="1"/>
                <c:pt idx="0">
                  <c:v>-91</c:v>
                </c:pt>
              </c:numCache>
            </c:numRef>
          </c:val>
        </c:ser>
        <c:ser>
          <c:idx val="3"/>
          <c:order val="3"/>
          <c:tx>
            <c:strRef>
              <c:f>'variación residencia grupo'!$E$5:$E$6</c:f>
              <c:strCache>
                <c:ptCount val="1"/>
                <c:pt idx="0">
                  <c:v>Año 2010</c:v>
                </c:pt>
              </c:strCache>
            </c:strRef>
          </c:tx>
          <c:invertIfNegative val="0"/>
          <c:cat>
            <c:strRef>
              <c:f>'variación residencia grupo'!$A$7:$A$8</c:f>
              <c:strCache>
                <c:ptCount val="1"/>
                <c:pt idx="0">
                  <c:v>CEDESOR</c:v>
                </c:pt>
              </c:strCache>
            </c:strRef>
          </c:cat>
          <c:val>
            <c:numRef>
              <c:f>'variación residencia grupo'!$E$7:$E$8</c:f>
              <c:numCache>
                <c:formatCode>General</c:formatCode>
                <c:ptCount val="1"/>
                <c:pt idx="0">
                  <c:v>119</c:v>
                </c:pt>
              </c:numCache>
            </c:numRef>
          </c:val>
        </c:ser>
        <c:ser>
          <c:idx val="4"/>
          <c:order val="4"/>
          <c:tx>
            <c:strRef>
              <c:f>'variación residencia grupo'!$F$5:$F$6</c:f>
              <c:strCache>
                <c:ptCount val="1"/>
                <c:pt idx="0">
                  <c:v>Año 2009</c:v>
                </c:pt>
              </c:strCache>
            </c:strRef>
          </c:tx>
          <c:invertIfNegative val="0"/>
          <c:cat>
            <c:strRef>
              <c:f>'variación residencia grupo'!$A$7:$A$8</c:f>
              <c:strCache>
                <c:ptCount val="1"/>
                <c:pt idx="0">
                  <c:v>CEDESOR</c:v>
                </c:pt>
              </c:strCache>
            </c:strRef>
          </c:cat>
          <c:val>
            <c:numRef>
              <c:f>'variación residencia grupo'!$F$7:$F$8</c:f>
              <c:numCache>
                <c:formatCode>General</c:formatCode>
                <c:ptCount val="1"/>
                <c:pt idx="0">
                  <c:v>-36</c:v>
                </c:pt>
              </c:numCache>
            </c:numRef>
          </c:val>
        </c:ser>
        <c:ser>
          <c:idx val="5"/>
          <c:order val="5"/>
          <c:tx>
            <c:strRef>
              <c:f>'variación residencia grupo'!$G$5:$G$6</c:f>
              <c:strCache>
                <c:ptCount val="1"/>
                <c:pt idx="0">
                  <c:v>Año 2008</c:v>
                </c:pt>
              </c:strCache>
            </c:strRef>
          </c:tx>
          <c:invertIfNegative val="0"/>
          <c:cat>
            <c:strRef>
              <c:f>'variación residencia grupo'!$A$7:$A$8</c:f>
              <c:strCache>
                <c:ptCount val="1"/>
                <c:pt idx="0">
                  <c:v>CEDESOR</c:v>
                </c:pt>
              </c:strCache>
            </c:strRef>
          </c:cat>
          <c:val>
            <c:numRef>
              <c:f>'variación residencia grupo'!$G$7:$G$8</c:f>
              <c:numCache>
                <c:formatCode>General</c:formatCode>
                <c:ptCount val="1"/>
                <c:pt idx="0">
                  <c:v>51</c:v>
                </c:pt>
              </c:numCache>
            </c:numRef>
          </c:val>
        </c:ser>
        <c:ser>
          <c:idx val="6"/>
          <c:order val="6"/>
          <c:tx>
            <c:strRef>
              <c:f>'variación residencia grupo'!$H$5:$H$6</c:f>
              <c:strCache>
                <c:ptCount val="1"/>
                <c:pt idx="0">
                  <c:v>Año 2007</c:v>
                </c:pt>
              </c:strCache>
            </c:strRef>
          </c:tx>
          <c:invertIfNegative val="0"/>
          <c:cat>
            <c:strRef>
              <c:f>'variación residencia grupo'!$A$7:$A$8</c:f>
              <c:strCache>
                <c:ptCount val="1"/>
                <c:pt idx="0">
                  <c:v>CEDESOR</c:v>
                </c:pt>
              </c:strCache>
            </c:strRef>
          </c:cat>
          <c:val>
            <c:numRef>
              <c:f>'variación residencia grupo'!$H$7:$H$8</c:f>
              <c:numCache>
                <c:formatCode>General</c:formatCode>
                <c:ptCount val="1"/>
                <c:pt idx="0">
                  <c:v>516</c:v>
                </c:pt>
              </c:numCache>
            </c:numRef>
          </c:val>
        </c:ser>
        <c:dLbls>
          <c:showLegendKey val="0"/>
          <c:showVal val="0"/>
          <c:showCatName val="0"/>
          <c:showSerName val="0"/>
          <c:showPercent val="0"/>
          <c:showBubbleSize val="0"/>
        </c:dLbls>
        <c:gapWidth val="150"/>
        <c:shape val="cylinder"/>
        <c:axId val="111293440"/>
        <c:axId val="111345664"/>
        <c:axId val="0"/>
      </c:bar3DChart>
      <c:catAx>
        <c:axId val="111293440"/>
        <c:scaling>
          <c:orientation val="minMax"/>
        </c:scaling>
        <c:delete val="0"/>
        <c:axPos val="b"/>
        <c:majorTickMark val="out"/>
        <c:minorTickMark val="none"/>
        <c:tickLblPos val="low"/>
        <c:crossAx val="111345664"/>
        <c:crosses val="autoZero"/>
        <c:auto val="1"/>
        <c:lblAlgn val="ctr"/>
        <c:lblOffset val="100"/>
        <c:noMultiLvlLbl val="0"/>
      </c:catAx>
      <c:valAx>
        <c:axId val="111345664"/>
        <c:scaling>
          <c:orientation val="minMax"/>
        </c:scaling>
        <c:delete val="0"/>
        <c:axPos val="l"/>
        <c:majorGridlines/>
        <c:numFmt formatCode="General" sourceLinked="1"/>
        <c:majorTickMark val="out"/>
        <c:minorTickMark val="none"/>
        <c:tickLblPos val="nextTo"/>
        <c:crossAx val="111293440"/>
        <c:crosses val="autoZero"/>
        <c:crossBetween val="between"/>
      </c:valAx>
    </c:plotArea>
    <c:legend>
      <c:legendPos val="b"/>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[actividades económicas.xlsx]Tabla porcentajes 2012!Tabla dinámica6</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4.6957882393878311E-2"/>
          <c:y val="3.2563475937780161E-2"/>
          <c:w val="0.61822897143819699"/>
          <c:h val="0.82332578764388353"/>
        </c:manualLayout>
      </c:layout>
      <c:bar3DChart>
        <c:barDir val="col"/>
        <c:grouping val="clustered"/>
        <c:varyColors val="0"/>
        <c:ser>
          <c:idx val="0"/>
          <c:order val="0"/>
          <c:tx>
            <c:strRef>
              <c:f>'Tabla porcentajes 2012'!$B$7:$B$8</c:f>
              <c:strCache>
                <c:ptCount val="1"/>
                <c:pt idx="0">
                  <c:v>Porcentaje Agricultura, ganadería, silvicultura y pesca</c:v>
                </c:pt>
              </c:strCache>
            </c:strRef>
          </c:tx>
          <c:invertIfNegative val="0"/>
          <c:cat>
            <c:strRef>
              <c:f>'Tabla porcentajes 2012'!$A$9:$A$10</c:f>
              <c:strCache>
                <c:ptCount val="1"/>
                <c:pt idx="0">
                  <c:v>CEDESOR</c:v>
                </c:pt>
              </c:strCache>
            </c:strRef>
          </c:cat>
          <c:val>
            <c:numRef>
              <c:f>'Tabla porcentajes 2012'!$B$9:$B$10</c:f>
              <c:numCache>
                <c:formatCode>0.0000%</c:formatCode>
                <c:ptCount val="1"/>
                <c:pt idx="0">
                  <c:v>6.0586570620015448E-2</c:v>
                </c:pt>
              </c:numCache>
            </c:numRef>
          </c:val>
        </c:ser>
        <c:ser>
          <c:idx val="1"/>
          <c:order val="1"/>
          <c:tx>
            <c:strRef>
              <c:f>'Tabla porcentajes 2012'!$C$7:$C$8</c:f>
              <c:strCache>
                <c:ptCount val="1"/>
                <c:pt idx="0">
                  <c:v>Porcentaje Industria</c:v>
                </c:pt>
              </c:strCache>
            </c:strRef>
          </c:tx>
          <c:invertIfNegative val="0"/>
          <c:cat>
            <c:strRef>
              <c:f>'Tabla porcentajes 2012'!$A$9:$A$10</c:f>
              <c:strCache>
                <c:ptCount val="1"/>
                <c:pt idx="0">
                  <c:v>CEDESOR</c:v>
                </c:pt>
              </c:strCache>
            </c:strRef>
          </c:cat>
          <c:val>
            <c:numRef>
              <c:f>'Tabla porcentajes 2012'!$C$9:$C$10</c:f>
              <c:numCache>
                <c:formatCode>0.0000%</c:formatCode>
                <c:ptCount val="1"/>
                <c:pt idx="0">
                  <c:v>1.8181818181818188E-2</c:v>
                </c:pt>
              </c:numCache>
            </c:numRef>
          </c:val>
        </c:ser>
        <c:ser>
          <c:idx val="2"/>
          <c:order val="2"/>
          <c:tx>
            <c:strRef>
              <c:f>'Tabla porcentajes 2012'!$D$7:$D$8</c:f>
              <c:strCache>
                <c:ptCount val="1"/>
                <c:pt idx="0">
                  <c:v>Porcentaje Energía y agua</c:v>
                </c:pt>
              </c:strCache>
            </c:strRef>
          </c:tx>
          <c:invertIfNegative val="0"/>
          <c:cat>
            <c:strRef>
              <c:f>'Tabla porcentajes 2012'!$A$9:$A$10</c:f>
              <c:strCache>
                <c:ptCount val="1"/>
                <c:pt idx="0">
                  <c:v>CEDESOR</c:v>
                </c:pt>
              </c:strCache>
            </c:strRef>
          </c:cat>
          <c:val>
            <c:numRef>
              <c:f>'Tabla porcentajes 2012'!$D$9:$D$10</c:f>
              <c:numCache>
                <c:formatCode>0.0000%</c:formatCode>
                <c:ptCount val="1"/>
                <c:pt idx="0">
                  <c:v>3.3252230332522309E-2</c:v>
                </c:pt>
              </c:numCache>
            </c:numRef>
          </c:val>
        </c:ser>
        <c:ser>
          <c:idx val="3"/>
          <c:order val="3"/>
          <c:tx>
            <c:strRef>
              <c:f>'Tabla porcentajes 2012'!$E$7:$E$8</c:f>
              <c:strCache>
                <c:ptCount val="1"/>
                <c:pt idx="0">
                  <c:v>Porcentaje Construcción</c:v>
                </c:pt>
              </c:strCache>
            </c:strRef>
          </c:tx>
          <c:invertIfNegative val="0"/>
          <c:cat>
            <c:strRef>
              <c:f>'Tabla porcentajes 2012'!$A$9:$A$10</c:f>
              <c:strCache>
                <c:ptCount val="1"/>
                <c:pt idx="0">
                  <c:v>CEDESOR</c:v>
                </c:pt>
              </c:strCache>
            </c:strRef>
          </c:cat>
          <c:val>
            <c:numRef>
              <c:f>'Tabla porcentajes 2012'!$E$9:$E$10</c:f>
              <c:numCache>
                <c:formatCode>0.0000%</c:formatCode>
                <c:ptCount val="1"/>
                <c:pt idx="0">
                  <c:v>3.3337651681996809E-2</c:v>
                </c:pt>
              </c:numCache>
            </c:numRef>
          </c:val>
        </c:ser>
        <c:ser>
          <c:idx val="4"/>
          <c:order val="4"/>
          <c:tx>
            <c:strRef>
              <c:f>'Tabla porcentajes 2012'!$F$7:$F$8</c:f>
              <c:strCache>
                <c:ptCount val="1"/>
                <c:pt idx="0">
                  <c:v>Porcentaje Servicios</c:v>
                </c:pt>
              </c:strCache>
            </c:strRef>
          </c:tx>
          <c:invertIfNegative val="0"/>
          <c:cat>
            <c:strRef>
              <c:f>'Tabla porcentajes 2012'!$A$9:$A$10</c:f>
              <c:strCache>
                <c:ptCount val="1"/>
                <c:pt idx="0">
                  <c:v>CEDESOR</c:v>
                </c:pt>
              </c:strCache>
            </c:strRef>
          </c:cat>
          <c:val>
            <c:numRef>
              <c:f>'Tabla porcentajes 2012'!$F$9:$F$10</c:f>
              <c:numCache>
                <c:formatCode>0.0000%</c:formatCode>
                <c:ptCount val="1"/>
                <c:pt idx="0">
                  <c:v>2.4541380482291483E-2</c:v>
                </c:pt>
              </c:numCache>
            </c:numRef>
          </c:val>
        </c:ser>
        <c:dLbls>
          <c:showLegendKey val="0"/>
          <c:showVal val="0"/>
          <c:showCatName val="0"/>
          <c:showSerName val="0"/>
          <c:showPercent val="0"/>
          <c:showBubbleSize val="0"/>
        </c:dLbls>
        <c:gapWidth val="150"/>
        <c:shape val="box"/>
        <c:axId val="111294976"/>
        <c:axId val="111347392"/>
        <c:axId val="0"/>
      </c:bar3DChart>
      <c:catAx>
        <c:axId val="111294976"/>
        <c:scaling>
          <c:orientation val="minMax"/>
        </c:scaling>
        <c:delete val="0"/>
        <c:axPos val="b"/>
        <c:majorTickMark val="out"/>
        <c:minorTickMark val="none"/>
        <c:tickLblPos val="nextTo"/>
        <c:crossAx val="111347392"/>
        <c:crosses val="autoZero"/>
        <c:auto val="1"/>
        <c:lblAlgn val="ctr"/>
        <c:lblOffset val="100"/>
        <c:noMultiLvlLbl val="0"/>
      </c:catAx>
      <c:valAx>
        <c:axId val="111347392"/>
        <c:scaling>
          <c:orientation val="minMax"/>
        </c:scaling>
        <c:delete val="0"/>
        <c:axPos val="l"/>
        <c:majorGridlines/>
        <c:numFmt formatCode="0.00%" sourceLinked="0"/>
        <c:majorTickMark val="out"/>
        <c:minorTickMark val="none"/>
        <c:tickLblPos val="nextTo"/>
        <c:crossAx val="111294976"/>
        <c:crosses val="autoZero"/>
        <c:crossBetween val="between"/>
      </c:valAx>
    </c:plotArea>
    <c:legend>
      <c:legendPos val="b"/>
      <c:layout>
        <c:manualLayout>
          <c:xMode val="edge"/>
          <c:yMode val="edge"/>
          <c:x val="0.7078669853768278"/>
          <c:y val="4.9794355602456909E-2"/>
          <c:w val="0.27706170185200302"/>
          <c:h val="0.94759594888392007"/>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[actividades económicas.xlsx]Tabla evolucion 2012-2011!Tabla dinámica7</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4.2812982818637033E-2"/>
          <c:y val="2.9117544413950616E-2"/>
          <c:w val="0.67202153254779329"/>
          <c:h val="0.78640932078612125"/>
        </c:manualLayout>
      </c:layout>
      <c:bar3DChart>
        <c:barDir val="col"/>
        <c:grouping val="clustered"/>
        <c:varyColors val="0"/>
        <c:ser>
          <c:idx val="0"/>
          <c:order val="0"/>
          <c:tx>
            <c:strRef>
              <c:f>'Tabla evolucion 2012-2011'!$B$7:$B$8</c:f>
              <c:strCache>
                <c:ptCount val="1"/>
                <c:pt idx="0">
                  <c:v>Total Agricultura, ganadería, silvicultura y pesca</c:v>
                </c:pt>
              </c:strCache>
            </c:strRef>
          </c:tx>
          <c:invertIfNegative val="0"/>
          <c:cat>
            <c:strRef>
              <c:f>'Tabla evolucion 2012-2011'!$A$9</c:f>
              <c:strCache>
                <c:ptCount val="1"/>
                <c:pt idx="0">
                  <c:v>CEDESOR</c:v>
                </c:pt>
              </c:strCache>
            </c:strRef>
          </c:cat>
          <c:val>
            <c:numRef>
              <c:f>'Tabla evolucion 2012-2011'!$B$9</c:f>
              <c:numCache>
                <c:formatCode>General</c:formatCode>
                <c:ptCount val="1"/>
                <c:pt idx="0">
                  <c:v>-7</c:v>
                </c:pt>
              </c:numCache>
            </c:numRef>
          </c:val>
        </c:ser>
        <c:ser>
          <c:idx val="1"/>
          <c:order val="1"/>
          <c:tx>
            <c:strRef>
              <c:f>'Tabla evolucion 2012-2011'!$C$7:$C$8</c:f>
              <c:strCache>
                <c:ptCount val="1"/>
                <c:pt idx="0">
                  <c:v>Total Industria</c:v>
                </c:pt>
              </c:strCache>
            </c:strRef>
          </c:tx>
          <c:invertIfNegative val="0"/>
          <c:cat>
            <c:strRef>
              <c:f>'Tabla evolucion 2012-2011'!$A$9</c:f>
              <c:strCache>
                <c:ptCount val="1"/>
                <c:pt idx="0">
                  <c:v>CEDESOR</c:v>
                </c:pt>
              </c:strCache>
            </c:strRef>
          </c:cat>
          <c:val>
            <c:numRef>
              <c:f>'Tabla evolucion 2012-2011'!$C$9</c:f>
              <c:numCache>
                <c:formatCode>General</c:formatCode>
                <c:ptCount val="1"/>
                <c:pt idx="0">
                  <c:v>-12</c:v>
                </c:pt>
              </c:numCache>
            </c:numRef>
          </c:val>
        </c:ser>
        <c:ser>
          <c:idx val="2"/>
          <c:order val="2"/>
          <c:tx>
            <c:strRef>
              <c:f>'Tabla evolucion 2012-2011'!$D$7:$D$8</c:f>
              <c:strCache>
                <c:ptCount val="1"/>
                <c:pt idx="0">
                  <c:v>Total Energía y agua</c:v>
                </c:pt>
              </c:strCache>
            </c:strRef>
          </c:tx>
          <c:invertIfNegative val="0"/>
          <c:cat>
            <c:strRef>
              <c:f>'Tabla evolucion 2012-2011'!$A$9</c:f>
              <c:strCache>
                <c:ptCount val="1"/>
                <c:pt idx="0">
                  <c:v>CEDESOR</c:v>
                </c:pt>
              </c:strCache>
            </c:strRef>
          </c:cat>
          <c:val>
            <c:numRef>
              <c:f>'Tabla evolucion 2012-2011'!$D$9</c:f>
              <c:numCache>
                <c:formatCode>General</c:formatCode>
                <c:ptCount val="1"/>
                <c:pt idx="0">
                  <c:v>-2</c:v>
                </c:pt>
              </c:numCache>
            </c:numRef>
          </c:val>
        </c:ser>
        <c:ser>
          <c:idx val="3"/>
          <c:order val="3"/>
          <c:tx>
            <c:strRef>
              <c:f>'Tabla evolucion 2012-2011'!$E$7:$E$8</c:f>
              <c:strCache>
                <c:ptCount val="1"/>
                <c:pt idx="0">
                  <c:v>Total Construcción</c:v>
                </c:pt>
              </c:strCache>
            </c:strRef>
          </c:tx>
          <c:invertIfNegative val="0"/>
          <c:cat>
            <c:strRef>
              <c:f>'Tabla evolucion 2012-2011'!$A$9</c:f>
              <c:strCache>
                <c:ptCount val="1"/>
                <c:pt idx="0">
                  <c:v>CEDESOR</c:v>
                </c:pt>
              </c:strCache>
            </c:strRef>
          </c:cat>
          <c:val>
            <c:numRef>
              <c:f>'Tabla evolucion 2012-2011'!$E$9</c:f>
              <c:numCache>
                <c:formatCode>General</c:formatCode>
                <c:ptCount val="1"/>
                <c:pt idx="0">
                  <c:v>-216</c:v>
                </c:pt>
              </c:numCache>
            </c:numRef>
          </c:val>
        </c:ser>
        <c:ser>
          <c:idx val="4"/>
          <c:order val="4"/>
          <c:tx>
            <c:strRef>
              <c:f>'Tabla evolucion 2012-2011'!$F$7:$F$8</c:f>
              <c:strCache>
                <c:ptCount val="1"/>
                <c:pt idx="0">
                  <c:v>Total Servicios</c:v>
                </c:pt>
              </c:strCache>
            </c:strRef>
          </c:tx>
          <c:invertIfNegative val="0"/>
          <c:cat>
            <c:strRef>
              <c:f>'Tabla evolucion 2012-2011'!$A$9</c:f>
              <c:strCache>
                <c:ptCount val="1"/>
                <c:pt idx="0">
                  <c:v>CEDESOR</c:v>
                </c:pt>
              </c:strCache>
            </c:strRef>
          </c:cat>
          <c:val>
            <c:numRef>
              <c:f>'Tabla evolucion 2012-2011'!$F$9</c:f>
              <c:numCache>
                <c:formatCode>General</c:formatCode>
                <c:ptCount val="1"/>
                <c:pt idx="0">
                  <c:v>-281</c:v>
                </c:pt>
              </c:numCache>
            </c:numRef>
          </c:val>
        </c:ser>
        <c:dLbls>
          <c:showLegendKey val="0"/>
          <c:showVal val="0"/>
          <c:showCatName val="0"/>
          <c:showSerName val="0"/>
          <c:showPercent val="0"/>
          <c:showBubbleSize val="0"/>
        </c:dLbls>
        <c:gapWidth val="150"/>
        <c:shape val="box"/>
        <c:axId val="111295488"/>
        <c:axId val="111349120"/>
        <c:axId val="0"/>
      </c:bar3DChart>
      <c:catAx>
        <c:axId val="111295488"/>
        <c:scaling>
          <c:orientation val="minMax"/>
        </c:scaling>
        <c:delete val="0"/>
        <c:axPos val="b"/>
        <c:majorTickMark val="out"/>
        <c:minorTickMark val="none"/>
        <c:tickLblPos val="low"/>
        <c:crossAx val="111349120"/>
        <c:crosses val="autoZero"/>
        <c:auto val="1"/>
        <c:lblAlgn val="ctr"/>
        <c:lblOffset val="100"/>
        <c:noMultiLvlLbl val="0"/>
      </c:catAx>
      <c:valAx>
        <c:axId val="111349120"/>
        <c:scaling>
          <c:orientation val="minMax"/>
        </c:scaling>
        <c:delete val="0"/>
        <c:axPos val="l"/>
        <c:majorGridlines/>
        <c:numFmt formatCode="General" sourceLinked="1"/>
        <c:majorTickMark val="out"/>
        <c:minorTickMark val="none"/>
        <c:tickLblPos val="nextTo"/>
        <c:crossAx val="111295488"/>
        <c:crosses val="autoZero"/>
        <c:crossBetween val="between"/>
      </c:valAx>
    </c:plotArea>
    <c:legend>
      <c:legendPos val="b"/>
      <c:layout>
        <c:manualLayout>
          <c:xMode val="edge"/>
          <c:yMode val="edge"/>
          <c:x val="0.74967697294417146"/>
          <c:y val="5.4985337243401759E-2"/>
          <c:w val="0.19707906577467291"/>
          <c:h val="0.94313390444962708"/>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A8730F-81C8-4E32-8AFC-F641D9564C32}" type="doc">
      <dgm:prSet loTypeId="urn:microsoft.com/office/officeart/2005/8/layout/hList9" loCatId="list" qsTypeId="urn:microsoft.com/office/officeart/2005/8/quickstyle/3d2" qsCatId="3D" csTypeId="urn:microsoft.com/office/officeart/2005/8/colors/accent0_3" csCatId="mainScheme" phldr="1"/>
      <dgm:spPr/>
    </dgm:pt>
    <dgm:pt modelId="{5A345620-AAE9-43AC-BFA5-7DCF838F6E6A}">
      <dgm:prSet phldrT="[Texto]" custT="1"/>
      <dgm:spPr>
        <a:solidFill>
          <a:schemeClr val="accent4">
            <a:lumMod val="75000"/>
          </a:schemeClr>
        </a:solidFill>
      </dgm:spPr>
      <dgm:t>
        <a:bodyPr/>
        <a:lstStyle/>
        <a:p>
          <a:r>
            <a:rPr lang="es-ES" sz="1200" b="1"/>
            <a:t>Superficie:</a:t>
          </a:r>
        </a:p>
      </dgm:t>
    </dgm:pt>
    <dgm:pt modelId="{E6081994-E4C2-4952-BBDE-14351334798F}" type="parTrans" cxnId="{B4D7B75F-EEBF-465C-98A1-5D3AB422E8F3}">
      <dgm:prSet/>
      <dgm:spPr/>
      <dgm:t>
        <a:bodyPr/>
        <a:lstStyle/>
        <a:p>
          <a:endParaRPr lang="es-ES"/>
        </a:p>
      </dgm:t>
    </dgm:pt>
    <dgm:pt modelId="{0DB3948C-1A0B-476A-81D8-3AAF2857D4B8}" type="sibTrans" cxnId="{B4D7B75F-EEBF-465C-98A1-5D3AB422E8F3}">
      <dgm:prSet/>
      <dgm:spPr/>
      <dgm:t>
        <a:bodyPr/>
        <a:lstStyle/>
        <a:p>
          <a:endParaRPr lang="es-ES"/>
        </a:p>
      </dgm:t>
    </dgm:pt>
    <dgm:pt modelId="{8A25AA0E-05A3-48A4-9066-D86732F11EE6}">
      <dgm:prSet phldrT="[Texto]" custT="1"/>
      <dgm:spPr>
        <a:solidFill>
          <a:schemeClr val="accent4">
            <a:lumMod val="75000"/>
          </a:schemeClr>
        </a:solidFill>
      </dgm:spPr>
      <dgm:t>
        <a:bodyPr/>
        <a:lstStyle/>
        <a:p>
          <a:r>
            <a:rPr lang="es-ES" sz="1200" b="1"/>
            <a:t>Densidad de población:</a:t>
          </a:r>
        </a:p>
      </dgm:t>
    </dgm:pt>
    <dgm:pt modelId="{2FE431C9-9F72-4EB8-9D87-44F37525555A}" type="parTrans" cxnId="{EA870C93-2570-45F3-916F-CDD3AFD80254}">
      <dgm:prSet/>
      <dgm:spPr/>
      <dgm:t>
        <a:bodyPr/>
        <a:lstStyle/>
        <a:p>
          <a:endParaRPr lang="es-ES"/>
        </a:p>
      </dgm:t>
    </dgm:pt>
    <dgm:pt modelId="{5232FD1E-CF5B-454C-B2DE-787AB9121A2B}" type="sibTrans" cxnId="{EA870C93-2570-45F3-916F-CDD3AFD80254}">
      <dgm:prSet/>
      <dgm:spPr/>
      <dgm:t>
        <a:bodyPr/>
        <a:lstStyle/>
        <a:p>
          <a:endParaRPr lang="es-ES"/>
        </a:p>
      </dgm:t>
    </dgm:pt>
    <dgm:pt modelId="{DC8F0761-D699-4726-9FCA-759596682644}">
      <dgm:prSet/>
      <dgm:spPr/>
      <dgm:t>
        <a:bodyPr/>
        <a:lstStyle/>
        <a:p>
          <a:r>
            <a:rPr lang="es-ES" b="1" i="0" u="none"/>
            <a:t>4662,56km</a:t>
          </a:r>
          <a:r>
            <a:rPr lang="es-ES" b="1" i="0" u="none" baseline="30000"/>
            <a:t>2</a:t>
          </a:r>
          <a:endParaRPr lang="es-ES" b="1" baseline="30000"/>
        </a:p>
      </dgm:t>
    </dgm:pt>
    <dgm:pt modelId="{BCF338E4-6CE5-47FC-8844-97E4499475F5}" type="parTrans" cxnId="{F23661FA-D4D5-4F66-9766-BE013364C55A}">
      <dgm:prSet/>
      <dgm:spPr/>
      <dgm:t>
        <a:bodyPr/>
        <a:lstStyle/>
        <a:p>
          <a:endParaRPr lang="es-ES"/>
        </a:p>
      </dgm:t>
    </dgm:pt>
    <dgm:pt modelId="{3D522E44-48E3-4E26-A847-8B9E2C2F175D}" type="sibTrans" cxnId="{F23661FA-D4D5-4F66-9766-BE013364C55A}">
      <dgm:prSet/>
      <dgm:spPr/>
      <dgm:t>
        <a:bodyPr/>
        <a:lstStyle/>
        <a:p>
          <a:endParaRPr lang="es-ES"/>
        </a:p>
      </dgm:t>
    </dgm:pt>
    <dgm:pt modelId="{F52A5D61-5B52-41D6-82AD-1AB126421323}">
      <dgm:prSet/>
      <dgm:spPr/>
      <dgm:t>
        <a:bodyPr/>
        <a:lstStyle/>
        <a:p>
          <a:pPr algn="ctr"/>
          <a:r>
            <a:rPr lang="es-ES" b="1" i="0" u="none"/>
            <a:t>4,43</a:t>
          </a:r>
          <a:endParaRPr lang="es-ES" b="1"/>
        </a:p>
      </dgm:t>
    </dgm:pt>
    <dgm:pt modelId="{44CB80DE-7E59-49AB-834D-195C1AEC6F98}" type="parTrans" cxnId="{A3CD7E36-CD76-4FD7-AEE5-5E600344D1DE}">
      <dgm:prSet/>
      <dgm:spPr/>
      <dgm:t>
        <a:bodyPr/>
        <a:lstStyle/>
        <a:p>
          <a:endParaRPr lang="es-ES"/>
        </a:p>
      </dgm:t>
    </dgm:pt>
    <dgm:pt modelId="{E6BF93AC-B433-416D-AA9F-D813E2E7E394}" type="sibTrans" cxnId="{A3CD7E36-CD76-4FD7-AEE5-5E600344D1DE}">
      <dgm:prSet/>
      <dgm:spPr/>
      <dgm:t>
        <a:bodyPr/>
        <a:lstStyle/>
        <a:p>
          <a:endParaRPr lang="es-ES"/>
        </a:p>
      </dgm:t>
    </dgm:pt>
    <dgm:pt modelId="{E62352AE-7A92-409B-A693-FF5F5F371E72}" type="pres">
      <dgm:prSet presAssocID="{18A8730F-81C8-4E32-8AFC-F641D9564C32}" presName="list" presStyleCnt="0">
        <dgm:presLayoutVars>
          <dgm:dir/>
          <dgm:animLvl val="lvl"/>
        </dgm:presLayoutVars>
      </dgm:prSet>
      <dgm:spPr/>
    </dgm:pt>
    <dgm:pt modelId="{601C966D-3AF6-4118-B620-1E3EFBE740C9}" type="pres">
      <dgm:prSet presAssocID="{5A345620-AAE9-43AC-BFA5-7DCF838F6E6A}" presName="posSpace" presStyleCnt="0"/>
      <dgm:spPr/>
    </dgm:pt>
    <dgm:pt modelId="{F36D099F-EEB4-4F98-872E-B1D06C65E133}" type="pres">
      <dgm:prSet presAssocID="{5A345620-AAE9-43AC-BFA5-7DCF838F6E6A}" presName="vertFlow" presStyleCnt="0"/>
      <dgm:spPr/>
    </dgm:pt>
    <dgm:pt modelId="{DB5C4403-791E-4B02-859B-EC3F5B33D810}" type="pres">
      <dgm:prSet presAssocID="{5A345620-AAE9-43AC-BFA5-7DCF838F6E6A}" presName="topSpace" presStyleCnt="0"/>
      <dgm:spPr/>
    </dgm:pt>
    <dgm:pt modelId="{8F52367C-0189-4D38-8029-7D76FCD93C77}" type="pres">
      <dgm:prSet presAssocID="{5A345620-AAE9-43AC-BFA5-7DCF838F6E6A}" presName="firstComp" presStyleCnt="0"/>
      <dgm:spPr/>
    </dgm:pt>
    <dgm:pt modelId="{7E56BCF3-9CB5-4F8B-BE2F-0C63200680D4}" type="pres">
      <dgm:prSet presAssocID="{5A345620-AAE9-43AC-BFA5-7DCF838F6E6A}" presName="firstChild" presStyleLbl="bgAccFollowNode1" presStyleIdx="0" presStyleCnt="2" custScaleY="43160" custLinFactNeighborX="10443" custLinFactNeighborY="-5342"/>
      <dgm:spPr/>
      <dgm:t>
        <a:bodyPr/>
        <a:lstStyle/>
        <a:p>
          <a:endParaRPr lang="es-ES"/>
        </a:p>
      </dgm:t>
    </dgm:pt>
    <dgm:pt modelId="{DACECD24-1E16-43E4-80BE-26CFAFDBDD5C}" type="pres">
      <dgm:prSet presAssocID="{5A345620-AAE9-43AC-BFA5-7DCF838F6E6A}" presName="firstChildTx" presStyleLbl="bgAccFollowNode1" presStyleIdx="0" presStyleCnt="2">
        <dgm:presLayoutVars>
          <dgm:bulletEnabled val="1"/>
        </dgm:presLayoutVars>
      </dgm:prSet>
      <dgm:spPr/>
      <dgm:t>
        <a:bodyPr/>
        <a:lstStyle/>
        <a:p>
          <a:endParaRPr lang="es-ES"/>
        </a:p>
      </dgm:t>
    </dgm:pt>
    <dgm:pt modelId="{5246FFAB-65CC-4258-8CBF-5E13D423474C}" type="pres">
      <dgm:prSet presAssocID="{5A345620-AAE9-43AC-BFA5-7DCF838F6E6A}" presName="negSpace" presStyleCnt="0"/>
      <dgm:spPr/>
    </dgm:pt>
    <dgm:pt modelId="{BF6713A8-036E-43D7-9142-70FA401CC8E0}" type="pres">
      <dgm:prSet presAssocID="{5A345620-AAE9-43AC-BFA5-7DCF838F6E6A}" presName="circle" presStyleLbl="node1" presStyleIdx="0" presStyleCnt="2" custScaleX="114806"/>
      <dgm:spPr/>
      <dgm:t>
        <a:bodyPr/>
        <a:lstStyle/>
        <a:p>
          <a:endParaRPr lang="es-ES"/>
        </a:p>
      </dgm:t>
    </dgm:pt>
    <dgm:pt modelId="{FB6E445D-BFE8-4AE0-9399-C0EECE766FC0}" type="pres">
      <dgm:prSet presAssocID="{0DB3948C-1A0B-476A-81D8-3AAF2857D4B8}" presName="transSpace" presStyleCnt="0"/>
      <dgm:spPr/>
    </dgm:pt>
    <dgm:pt modelId="{99EAC4E4-9F15-4285-B02D-55B2D929CDCE}" type="pres">
      <dgm:prSet presAssocID="{8A25AA0E-05A3-48A4-9066-D86732F11EE6}" presName="posSpace" presStyleCnt="0"/>
      <dgm:spPr/>
    </dgm:pt>
    <dgm:pt modelId="{C29BD979-117A-4098-82FD-CF9E1B668D9D}" type="pres">
      <dgm:prSet presAssocID="{8A25AA0E-05A3-48A4-9066-D86732F11EE6}" presName="vertFlow" presStyleCnt="0"/>
      <dgm:spPr/>
    </dgm:pt>
    <dgm:pt modelId="{A6CEB835-8B0C-4E1D-9DF6-36136D68911F}" type="pres">
      <dgm:prSet presAssocID="{8A25AA0E-05A3-48A4-9066-D86732F11EE6}" presName="topSpace" presStyleCnt="0"/>
      <dgm:spPr/>
    </dgm:pt>
    <dgm:pt modelId="{43FC3AB4-C3DD-4D28-BDA2-12470C5C44D6}" type="pres">
      <dgm:prSet presAssocID="{8A25AA0E-05A3-48A4-9066-D86732F11EE6}" presName="firstComp" presStyleCnt="0"/>
      <dgm:spPr/>
    </dgm:pt>
    <dgm:pt modelId="{53641B60-3D2A-48DF-8978-B44702B50950}" type="pres">
      <dgm:prSet presAssocID="{8A25AA0E-05A3-48A4-9066-D86732F11EE6}" presName="firstChild" presStyleLbl="bgAccFollowNode1" presStyleIdx="1" presStyleCnt="2" custScaleY="39131"/>
      <dgm:spPr/>
      <dgm:t>
        <a:bodyPr/>
        <a:lstStyle/>
        <a:p>
          <a:endParaRPr lang="es-ES"/>
        </a:p>
      </dgm:t>
    </dgm:pt>
    <dgm:pt modelId="{A37BC357-048C-4C8A-9C7C-39AAB06E79AE}" type="pres">
      <dgm:prSet presAssocID="{8A25AA0E-05A3-48A4-9066-D86732F11EE6}" presName="firstChildTx" presStyleLbl="bgAccFollowNode1" presStyleIdx="1" presStyleCnt="2">
        <dgm:presLayoutVars>
          <dgm:bulletEnabled val="1"/>
        </dgm:presLayoutVars>
      </dgm:prSet>
      <dgm:spPr/>
      <dgm:t>
        <a:bodyPr/>
        <a:lstStyle/>
        <a:p>
          <a:endParaRPr lang="es-ES"/>
        </a:p>
      </dgm:t>
    </dgm:pt>
    <dgm:pt modelId="{8196E043-9A47-465E-9AB6-9778260CB821}" type="pres">
      <dgm:prSet presAssocID="{8A25AA0E-05A3-48A4-9066-D86732F11EE6}" presName="negSpace" presStyleCnt="0"/>
      <dgm:spPr/>
    </dgm:pt>
    <dgm:pt modelId="{575C1222-BBA2-426D-9CA7-C61006236803}" type="pres">
      <dgm:prSet presAssocID="{8A25AA0E-05A3-48A4-9066-D86732F11EE6}" presName="circle" presStyleLbl="node1" presStyleIdx="1" presStyleCnt="2" custScaleX="116435"/>
      <dgm:spPr/>
      <dgm:t>
        <a:bodyPr/>
        <a:lstStyle/>
        <a:p>
          <a:endParaRPr lang="es-ES"/>
        </a:p>
      </dgm:t>
    </dgm:pt>
  </dgm:ptLst>
  <dgm:cxnLst>
    <dgm:cxn modelId="{94CE0C55-13CB-44ED-B0A7-1A47290C9D51}" type="presOf" srcId="{18A8730F-81C8-4E32-8AFC-F641D9564C32}" destId="{E62352AE-7A92-409B-A693-FF5F5F371E72}" srcOrd="0" destOrd="0" presId="urn:microsoft.com/office/officeart/2005/8/layout/hList9"/>
    <dgm:cxn modelId="{A3CD7E36-CD76-4FD7-AEE5-5E600344D1DE}" srcId="{8A25AA0E-05A3-48A4-9066-D86732F11EE6}" destId="{F52A5D61-5B52-41D6-82AD-1AB126421323}" srcOrd="0" destOrd="0" parTransId="{44CB80DE-7E59-49AB-834D-195C1AEC6F98}" sibTransId="{E6BF93AC-B433-416D-AA9F-D813E2E7E394}"/>
    <dgm:cxn modelId="{B4D7B75F-EEBF-465C-98A1-5D3AB422E8F3}" srcId="{18A8730F-81C8-4E32-8AFC-F641D9564C32}" destId="{5A345620-AAE9-43AC-BFA5-7DCF838F6E6A}" srcOrd="0" destOrd="0" parTransId="{E6081994-E4C2-4952-BBDE-14351334798F}" sibTransId="{0DB3948C-1A0B-476A-81D8-3AAF2857D4B8}"/>
    <dgm:cxn modelId="{173F27C1-734E-443C-B2A6-29536A70ED72}" type="presOf" srcId="{F52A5D61-5B52-41D6-82AD-1AB126421323}" destId="{53641B60-3D2A-48DF-8978-B44702B50950}" srcOrd="0" destOrd="0" presId="urn:microsoft.com/office/officeart/2005/8/layout/hList9"/>
    <dgm:cxn modelId="{EF141321-E89F-4AFD-8F3F-3FE6093E628D}" type="presOf" srcId="{5A345620-AAE9-43AC-BFA5-7DCF838F6E6A}" destId="{BF6713A8-036E-43D7-9142-70FA401CC8E0}" srcOrd="0" destOrd="0" presId="urn:microsoft.com/office/officeart/2005/8/layout/hList9"/>
    <dgm:cxn modelId="{F23661FA-D4D5-4F66-9766-BE013364C55A}" srcId="{5A345620-AAE9-43AC-BFA5-7DCF838F6E6A}" destId="{DC8F0761-D699-4726-9FCA-759596682644}" srcOrd="0" destOrd="0" parTransId="{BCF338E4-6CE5-47FC-8844-97E4499475F5}" sibTransId="{3D522E44-48E3-4E26-A847-8B9E2C2F175D}"/>
    <dgm:cxn modelId="{C3CEABC5-5546-4164-8DD6-A56C9C6E6375}" type="presOf" srcId="{8A25AA0E-05A3-48A4-9066-D86732F11EE6}" destId="{575C1222-BBA2-426D-9CA7-C61006236803}" srcOrd="0" destOrd="0" presId="urn:microsoft.com/office/officeart/2005/8/layout/hList9"/>
    <dgm:cxn modelId="{160DFB08-92E5-4394-979D-EA5ED0955023}" type="presOf" srcId="{DC8F0761-D699-4726-9FCA-759596682644}" destId="{7E56BCF3-9CB5-4F8B-BE2F-0C63200680D4}" srcOrd="0" destOrd="0" presId="urn:microsoft.com/office/officeart/2005/8/layout/hList9"/>
    <dgm:cxn modelId="{569F9149-EB8C-48CF-B889-A51A6AD0697E}" type="presOf" srcId="{F52A5D61-5B52-41D6-82AD-1AB126421323}" destId="{A37BC357-048C-4C8A-9C7C-39AAB06E79AE}" srcOrd="1" destOrd="0" presId="urn:microsoft.com/office/officeart/2005/8/layout/hList9"/>
    <dgm:cxn modelId="{EA870C93-2570-45F3-916F-CDD3AFD80254}" srcId="{18A8730F-81C8-4E32-8AFC-F641D9564C32}" destId="{8A25AA0E-05A3-48A4-9066-D86732F11EE6}" srcOrd="1" destOrd="0" parTransId="{2FE431C9-9F72-4EB8-9D87-44F37525555A}" sibTransId="{5232FD1E-CF5B-454C-B2DE-787AB9121A2B}"/>
    <dgm:cxn modelId="{68649324-FE82-454B-81ED-15753BD4C49F}" type="presOf" srcId="{DC8F0761-D699-4726-9FCA-759596682644}" destId="{DACECD24-1E16-43E4-80BE-26CFAFDBDD5C}" srcOrd="1" destOrd="0" presId="urn:microsoft.com/office/officeart/2005/8/layout/hList9"/>
    <dgm:cxn modelId="{78147B17-3AFD-402E-B3AB-CA15A56FB9CE}" type="presParOf" srcId="{E62352AE-7A92-409B-A693-FF5F5F371E72}" destId="{601C966D-3AF6-4118-B620-1E3EFBE740C9}" srcOrd="0" destOrd="0" presId="urn:microsoft.com/office/officeart/2005/8/layout/hList9"/>
    <dgm:cxn modelId="{008C9C0B-89B1-4138-9461-6680F6AA6D6F}" type="presParOf" srcId="{E62352AE-7A92-409B-A693-FF5F5F371E72}" destId="{F36D099F-EEB4-4F98-872E-B1D06C65E133}" srcOrd="1" destOrd="0" presId="urn:microsoft.com/office/officeart/2005/8/layout/hList9"/>
    <dgm:cxn modelId="{10E65530-122A-4D80-AE27-313281FC4B27}" type="presParOf" srcId="{F36D099F-EEB4-4F98-872E-B1D06C65E133}" destId="{DB5C4403-791E-4B02-859B-EC3F5B33D810}" srcOrd="0" destOrd="0" presId="urn:microsoft.com/office/officeart/2005/8/layout/hList9"/>
    <dgm:cxn modelId="{ED610651-8243-4C4C-8AB2-F034834FB87B}" type="presParOf" srcId="{F36D099F-EEB4-4F98-872E-B1D06C65E133}" destId="{8F52367C-0189-4D38-8029-7D76FCD93C77}" srcOrd="1" destOrd="0" presId="urn:microsoft.com/office/officeart/2005/8/layout/hList9"/>
    <dgm:cxn modelId="{A4BCA73A-227F-4C47-92F1-B6D052AEEFD4}" type="presParOf" srcId="{8F52367C-0189-4D38-8029-7D76FCD93C77}" destId="{7E56BCF3-9CB5-4F8B-BE2F-0C63200680D4}" srcOrd="0" destOrd="0" presId="urn:microsoft.com/office/officeart/2005/8/layout/hList9"/>
    <dgm:cxn modelId="{DB3BF62B-0E02-47AB-8B23-AFA03663E12D}" type="presParOf" srcId="{8F52367C-0189-4D38-8029-7D76FCD93C77}" destId="{DACECD24-1E16-43E4-80BE-26CFAFDBDD5C}" srcOrd="1" destOrd="0" presId="urn:microsoft.com/office/officeart/2005/8/layout/hList9"/>
    <dgm:cxn modelId="{A80D74EE-7E20-40A2-8A67-398A8AAE531A}" type="presParOf" srcId="{E62352AE-7A92-409B-A693-FF5F5F371E72}" destId="{5246FFAB-65CC-4258-8CBF-5E13D423474C}" srcOrd="2" destOrd="0" presId="urn:microsoft.com/office/officeart/2005/8/layout/hList9"/>
    <dgm:cxn modelId="{6E68C925-AC47-4D22-A392-8914B357E680}" type="presParOf" srcId="{E62352AE-7A92-409B-A693-FF5F5F371E72}" destId="{BF6713A8-036E-43D7-9142-70FA401CC8E0}" srcOrd="3" destOrd="0" presId="urn:microsoft.com/office/officeart/2005/8/layout/hList9"/>
    <dgm:cxn modelId="{425FD722-2867-4F9B-84E2-33C1F7F5CB2D}" type="presParOf" srcId="{E62352AE-7A92-409B-A693-FF5F5F371E72}" destId="{FB6E445D-BFE8-4AE0-9399-C0EECE766FC0}" srcOrd="4" destOrd="0" presId="urn:microsoft.com/office/officeart/2005/8/layout/hList9"/>
    <dgm:cxn modelId="{F4F33108-281A-4E9B-8D1D-117027CD2EA0}" type="presParOf" srcId="{E62352AE-7A92-409B-A693-FF5F5F371E72}" destId="{99EAC4E4-9F15-4285-B02D-55B2D929CDCE}" srcOrd="5" destOrd="0" presId="urn:microsoft.com/office/officeart/2005/8/layout/hList9"/>
    <dgm:cxn modelId="{1CD8158A-B935-4DAE-9C15-3E49C34F50F5}" type="presParOf" srcId="{E62352AE-7A92-409B-A693-FF5F5F371E72}" destId="{C29BD979-117A-4098-82FD-CF9E1B668D9D}" srcOrd="6" destOrd="0" presId="urn:microsoft.com/office/officeart/2005/8/layout/hList9"/>
    <dgm:cxn modelId="{FB651115-7B27-4F86-AD9D-11F795C2D710}" type="presParOf" srcId="{C29BD979-117A-4098-82FD-CF9E1B668D9D}" destId="{A6CEB835-8B0C-4E1D-9DF6-36136D68911F}" srcOrd="0" destOrd="0" presId="urn:microsoft.com/office/officeart/2005/8/layout/hList9"/>
    <dgm:cxn modelId="{00BB4405-122D-4364-BC0F-10652C312829}" type="presParOf" srcId="{C29BD979-117A-4098-82FD-CF9E1B668D9D}" destId="{43FC3AB4-C3DD-4D28-BDA2-12470C5C44D6}" srcOrd="1" destOrd="0" presId="urn:microsoft.com/office/officeart/2005/8/layout/hList9"/>
    <dgm:cxn modelId="{18D34C42-6F52-4050-945F-72DAF5860927}" type="presParOf" srcId="{43FC3AB4-C3DD-4D28-BDA2-12470C5C44D6}" destId="{53641B60-3D2A-48DF-8978-B44702B50950}" srcOrd="0" destOrd="0" presId="urn:microsoft.com/office/officeart/2005/8/layout/hList9"/>
    <dgm:cxn modelId="{A2A1E5EF-BEAE-46C2-A5F7-431E69EC68E3}" type="presParOf" srcId="{43FC3AB4-C3DD-4D28-BDA2-12470C5C44D6}" destId="{A37BC357-048C-4C8A-9C7C-39AAB06E79AE}" srcOrd="1" destOrd="0" presId="urn:microsoft.com/office/officeart/2005/8/layout/hList9"/>
    <dgm:cxn modelId="{CFFC0D3A-C538-4AE1-B37C-F95A3E702872}" type="presParOf" srcId="{E62352AE-7A92-409B-A693-FF5F5F371E72}" destId="{8196E043-9A47-465E-9AB6-9778260CB821}" srcOrd="7" destOrd="0" presId="urn:microsoft.com/office/officeart/2005/8/layout/hList9"/>
    <dgm:cxn modelId="{DA83B8CC-57FC-4576-B77C-7D0A4DD3202C}" type="presParOf" srcId="{E62352AE-7A92-409B-A693-FF5F5F371E72}" destId="{575C1222-BBA2-426D-9CA7-C61006236803}" srcOrd="8" destOrd="0" presId="urn:microsoft.com/office/officeart/2005/8/layout/hList9"/>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56BCF3-9CB5-4F8B-BE2F-0C63200680D4}">
      <dsp:nvSpPr>
        <dsp:cNvPr id="0" name=""/>
        <dsp:cNvSpPr/>
      </dsp:nvSpPr>
      <dsp:spPr>
        <a:xfrm>
          <a:off x="1046120" y="438409"/>
          <a:ext cx="1636206" cy="471026"/>
        </a:xfrm>
        <a:prstGeom prst="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106680" rIns="106680" bIns="106680" numCol="1" spcCol="1270" anchor="ctr" anchorCtr="0">
          <a:noAutofit/>
        </a:bodyPr>
        <a:lstStyle/>
        <a:p>
          <a:pPr lvl="0" algn="l" defTabSz="666750">
            <a:lnSpc>
              <a:spcPct val="90000"/>
            </a:lnSpc>
            <a:spcBef>
              <a:spcPct val="0"/>
            </a:spcBef>
            <a:spcAft>
              <a:spcPct val="35000"/>
            </a:spcAft>
          </a:pPr>
          <a:r>
            <a:rPr lang="es-ES" sz="1500" b="1" i="0" u="none" kern="1200"/>
            <a:t>4662,56km</a:t>
          </a:r>
          <a:r>
            <a:rPr lang="es-ES" sz="1500" b="1" i="0" u="none" kern="1200" baseline="30000"/>
            <a:t>2</a:t>
          </a:r>
          <a:endParaRPr lang="es-ES" sz="1500" b="1" kern="1200" baseline="30000"/>
        </a:p>
      </dsp:txBody>
      <dsp:txXfrm>
        <a:off x="1307913" y="438409"/>
        <a:ext cx="1374413" cy="471026"/>
      </dsp:txXfrm>
    </dsp:sp>
    <dsp:sp modelId="{BF6713A8-036E-43D7-9142-70FA401CC8E0}">
      <dsp:nvSpPr>
        <dsp:cNvPr id="0" name=""/>
        <dsp:cNvSpPr/>
      </dsp:nvSpPr>
      <dsp:spPr>
        <a:xfrm>
          <a:off x="2607" y="60387"/>
          <a:ext cx="1252308" cy="1090804"/>
        </a:xfrm>
        <a:prstGeom prst="ellipse">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s-ES" sz="1200" b="1" kern="1200"/>
            <a:t>Superficie:</a:t>
          </a:r>
        </a:p>
      </dsp:txBody>
      <dsp:txXfrm>
        <a:off x="186003" y="220132"/>
        <a:ext cx="885516" cy="771314"/>
      </dsp:txXfrm>
    </dsp:sp>
    <dsp:sp modelId="{53641B60-3D2A-48DF-8978-B44702B50950}">
      <dsp:nvSpPr>
        <dsp:cNvPr id="0" name=""/>
        <dsp:cNvSpPr/>
      </dsp:nvSpPr>
      <dsp:spPr>
        <a:xfrm>
          <a:off x="3763765" y="496709"/>
          <a:ext cx="1636206" cy="427055"/>
        </a:xfrm>
        <a:prstGeom prst="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s-ES" sz="1500" b="1" i="0" u="none" kern="1200"/>
            <a:t>4,43</a:t>
          </a:r>
          <a:endParaRPr lang="es-ES" sz="1500" b="1" kern="1200"/>
        </a:p>
      </dsp:txBody>
      <dsp:txXfrm>
        <a:off x="4025558" y="496709"/>
        <a:ext cx="1374413" cy="427055"/>
      </dsp:txXfrm>
    </dsp:sp>
    <dsp:sp modelId="{575C1222-BBA2-426D-9CA7-C61006236803}">
      <dsp:nvSpPr>
        <dsp:cNvPr id="0" name=""/>
        <dsp:cNvSpPr/>
      </dsp:nvSpPr>
      <dsp:spPr>
        <a:xfrm>
          <a:off x="2891122" y="60387"/>
          <a:ext cx="1270077" cy="1090804"/>
        </a:xfrm>
        <a:prstGeom prst="ellipse">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s-ES" sz="1200" b="1" kern="1200"/>
            <a:t>Densidad de población:</a:t>
          </a:r>
        </a:p>
      </dsp:txBody>
      <dsp:txXfrm>
        <a:off x="3077120" y="220132"/>
        <a:ext cx="898081" cy="771314"/>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2001-12-01T00:00:00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A95BF3-0B9A-4E64-A88C-B38BECB74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1194</TotalTime>
  <Pages>24</Pages>
  <Words>1817</Words>
  <Characters>9995</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Caracterización territorial de (CEDER SOMONTANO)</vt:lpstr>
    </vt:vector>
  </TitlesOfParts>
  <Company/>
  <LinksUpToDate>false</LinksUpToDate>
  <CharactersWithSpaces>11789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Caracterización territorial de Sobrarbe y La Ribagorza. Centro para el Desarrollo del Sobrarbe y la Ribagorza (Cedesor)</dc:title>
  <dc:subject/>
  <dc:creator>miriam escorza torrijos</dc:creator>
  <cp:keywords/>
  <dc:description/>
  <cp:lastModifiedBy>miriam escorza torrijos</cp:lastModifiedBy>
  <cp:revision>238</cp:revision>
  <dcterms:created xsi:type="dcterms:W3CDTF">2014-12-16T11:01:00Z</dcterms:created>
  <dcterms:modified xsi:type="dcterms:W3CDTF">2015-02-19T10:41:00Z</dcterms:modified>
</cp:coreProperties>
</file>