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0BB10B0B" wp14:editId="22015D6B">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EE283E">
            <w:rPr>
              <w:color w:val="000000" w:themeColor="text1"/>
              <w:sz w:val="28"/>
              <w:szCs w:val="28"/>
            </w:rPr>
            <w:t>Febrero</w:t>
          </w:r>
          <w:r w:rsidRPr="005047FE">
            <w:rPr>
              <w:color w:val="000000" w:themeColor="text1"/>
              <w:sz w:val="28"/>
              <w:szCs w:val="28"/>
            </w:rPr>
            <w:t xml:space="preserve"> 2014</w:t>
          </w:r>
        </w:p>
        <w:p w:rsidR="00EE283E" w:rsidRDefault="005047FE" w:rsidP="00EE283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6EB02391" wp14:editId="76516D9B">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" fillcolor="#5f497a [2407]" stroked="f" strokeweight="2pt"/>
                </w:pict>
              </mc:Fallback>
            </mc:AlternateContent>
          </w:r>
        </w:p>
        <w:p w:rsidR="005047FE" w:rsidRDefault="00EE283E" w:rsidP="00EE283E">
          <w:pPr>
            <w:jc w:val="center"/>
            <w:rPr>
              <w:b/>
              <w:color w:val="000000" w:themeColor="text1"/>
              <w:sz w:val="32"/>
              <w:szCs w:val="32"/>
            </w:rPr>
          </w:pPr>
          <w:r>
            <w:rPr>
              <w:b/>
              <w:color w:val="FFFFFF" w:themeColor="background1"/>
              <w:sz w:val="32"/>
              <w:szCs w:val="32"/>
            </w:rPr>
            <w:t>Caracterización territorial de L</w:t>
          </w:r>
          <w:r w:rsidRPr="00EE283E">
            <w:rPr>
              <w:b/>
              <w:color w:val="FFFFFF" w:themeColor="background1"/>
              <w:sz w:val="32"/>
              <w:szCs w:val="32"/>
            </w:rPr>
            <w:t xml:space="preserve">a </w:t>
          </w:r>
          <w:proofErr w:type="spellStart"/>
          <w:r w:rsidRPr="00EE283E">
            <w:rPr>
              <w:b/>
              <w:color w:val="FFFFFF" w:themeColor="background1"/>
              <w:sz w:val="32"/>
              <w:szCs w:val="32"/>
            </w:rPr>
            <w:t>Jacetania</w:t>
          </w:r>
          <w:proofErr w:type="spellEnd"/>
          <w:r w:rsidRPr="00EE283E">
            <w:rPr>
              <w:b/>
              <w:color w:val="FFFFFF" w:themeColor="background1"/>
              <w:sz w:val="32"/>
              <w:szCs w:val="32"/>
            </w:rPr>
            <w:t>-Alto Gállego. Asociación para el Desarrollo Integral de la Cuna de Aragón (Adecuara)</w:t>
          </w:r>
        </w:p>
        <w:p w:rsidR="005047FE" w:rsidRPr="005047FE" w:rsidRDefault="005047FE" w:rsidP="00DA6CCE">
          <w:pPr>
            <w:jc w:val="both"/>
            <w:rPr>
              <w:b/>
              <w:color w:val="000000" w:themeColor="text1"/>
              <w:sz w:val="32"/>
              <w:szCs w:val="32"/>
            </w:rPr>
          </w:pPr>
        </w:p>
        <w:p w:rsidR="005047FE" w:rsidRDefault="00EE283E" w:rsidP="00EE283E">
          <w:pPr>
            <w:tabs>
              <w:tab w:val="left" w:pos="3664"/>
            </w:tabs>
            <w:jc w:val="both"/>
            <w:rPr>
              <w:noProof/>
              <w:lang w:eastAsia="es-ES"/>
            </w:rPr>
          </w:pPr>
          <w:r>
            <w:rPr>
              <w:noProof/>
              <w:lang w:eastAsia="es-ES"/>
            </w:rPr>
            <w:tab/>
          </w:r>
        </w:p>
        <w:p w:rsidR="00D02DFF" w:rsidRDefault="00D02DFF" w:rsidP="00DA6CCE">
          <w:pPr>
            <w:jc w:val="both"/>
            <w:rPr>
              <w:noProof/>
              <w:lang w:eastAsia="es-ES"/>
            </w:rPr>
          </w:pPr>
        </w:p>
        <w:p w:rsidR="00D02DFF" w:rsidRDefault="00EE283E" w:rsidP="00DA6CCE">
          <w:pPr>
            <w:jc w:val="both"/>
            <w:rPr>
              <w:noProof/>
              <w:lang w:eastAsia="es-ES"/>
            </w:rPr>
          </w:pPr>
          <w:r>
            <w:rPr>
              <w:noProof/>
              <w:lang w:eastAsia="es-ES"/>
            </w:rPr>
            <w:drawing>
              <wp:inline distT="0" distB="0" distL="0" distR="0" wp14:anchorId="3D0B1B23" wp14:editId="6E1CEC32">
                <wp:extent cx="5394960" cy="4795520"/>
                <wp:effectExtent l="0" t="0" r="0" b="5080"/>
                <wp:docPr id="7" name="Imagen 7" descr="la-jacetania-alto-gal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jacetania-alto-galle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800036"/>
                        </a:xfrm>
                        <a:prstGeom prst="rect">
                          <a:avLst/>
                        </a:prstGeom>
                        <a:noFill/>
                        <a:ln>
                          <a:noFill/>
                        </a:ln>
                      </pic:spPr>
                    </pic:pic>
                  </a:graphicData>
                </a:graphic>
              </wp:inline>
            </w:drawing>
          </w:r>
        </w:p>
        <w:p w:rsidR="00D02DFF" w:rsidRDefault="00D02DFF" w:rsidP="00DA6CCE">
          <w:pPr>
            <w:jc w:val="both"/>
            <w:rPr>
              <w:noProof/>
              <w:lang w:eastAsia="es-ES"/>
            </w:rPr>
          </w:pPr>
        </w:p>
        <w:p w:rsidR="00D02DFF" w:rsidRDefault="00D02DFF" w:rsidP="00DA6CCE">
          <w:pPr>
            <w:jc w:val="both"/>
            <w:rPr>
              <w:noProof/>
              <w:lang w:eastAsia="es-ES"/>
            </w:rPr>
          </w:pPr>
        </w:p>
        <w:p w:rsidR="00D02DFF" w:rsidRDefault="00D02DFF" w:rsidP="00DA6CCE">
          <w:pPr>
            <w:jc w:val="both"/>
            <w:rPr>
              <w:noProof/>
              <w:lang w:eastAsia="es-ES"/>
            </w:rPr>
          </w:pPr>
        </w:p>
        <w:tbl>
          <w:tblPr>
            <w:tblpPr w:leftFromText="187" w:rightFromText="187" w:vertAnchor="page" w:horzAnchor="margin" w:tblpY="15345"/>
            <w:tblOverlap w:val="never"/>
            <w:tblW w:w="0" w:type="auto"/>
            <w:tblLook w:val="04A0" w:firstRow="1" w:lastRow="0" w:firstColumn="1" w:lastColumn="0" w:noHBand="0" w:noVBand="1"/>
          </w:tblPr>
          <w:tblGrid>
            <w:gridCol w:w="8720"/>
          </w:tblGrid>
          <w:tr w:rsidR="00EE283E" w:rsidTr="00EE283E">
            <w:trPr>
              <w:trHeight w:val="360"/>
            </w:trPr>
            <w:tc>
              <w:tcPr>
                <w:tcW w:w="8720" w:type="dxa"/>
              </w:tcPr>
              <w:p w:rsidR="00EE283E" w:rsidRPr="005047FE" w:rsidRDefault="00EE283E" w:rsidP="00EE283E">
                <w:pPr>
                  <w:pStyle w:val="Sinespaciado"/>
                  <w:jc w:val="both"/>
                  <w:rPr>
                    <w:b/>
                    <w:color w:val="000000" w:themeColor="text1"/>
                    <w:sz w:val="32"/>
                    <w:szCs w:val="32"/>
                  </w:rPr>
                </w:pPr>
                <w:r w:rsidRPr="005047FE">
                  <w:rPr>
                    <w:b/>
                    <w:color w:val="000000" w:themeColor="text1"/>
                    <w:sz w:val="32"/>
                    <w:szCs w:val="32"/>
                  </w:rPr>
                  <w:t>RADR</w:t>
                </w:r>
              </w:p>
            </w:tc>
          </w:tr>
        </w:tbl>
        <w:p w:rsidR="005047FE" w:rsidRDefault="005047FE" w:rsidP="00DA6CCE">
          <w:pPr>
            <w:jc w:val="both"/>
            <w:rPr>
              <w:noProof/>
              <w:lang w:eastAsia="es-ES"/>
            </w:rPr>
          </w:pPr>
        </w:p>
        <w:p w:rsidR="008222AC" w:rsidRDefault="008222AC"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4FC11517" wp14:editId="3D52E4A7">
                    <wp:simplePos x="0" y="0"/>
                    <wp:positionH relativeFrom="column">
                      <wp:posOffset>-117475</wp:posOffset>
                    </wp:positionH>
                    <wp:positionV relativeFrom="paragraph">
                      <wp:posOffset>14605</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DD0AB3" w:rsidRPr="00974B32" w:rsidRDefault="00DD0AB3"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9.25pt;margin-top:1.15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" fillcolor="#5f497a [2407]" stroked="f" strokeweight=".25pt">
                    <v:shadow on="t" color="black" opacity="20971f" offset="0,2.2pt"/>
                    <v:textbox>
                      <w:txbxContent>
                        <w:p w:rsidR="00DD0AB3" w:rsidRPr="00974B32" w:rsidRDefault="00DD0AB3"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425194" w:rsidRDefault="00425194"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301AB795" wp14:editId="0C018B99">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8455" w:type="dxa"/>
            <w:tblInd w:w="250" w:type="dxa"/>
            <w:tblLook w:val="04A0" w:firstRow="1" w:lastRow="0" w:firstColumn="1" w:lastColumn="0" w:noHBand="0" w:noVBand="1"/>
          </w:tblPr>
          <w:tblGrid>
            <w:gridCol w:w="2822"/>
            <w:gridCol w:w="1616"/>
            <w:gridCol w:w="1371"/>
            <w:gridCol w:w="1274"/>
            <w:gridCol w:w="1372"/>
          </w:tblGrid>
          <w:tr w:rsidR="005170AC" w:rsidRPr="005170AC" w:rsidTr="005170AC">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2" w:type="dxa"/>
                <w:noWrap/>
                <w:hideMark/>
              </w:tcPr>
              <w:p w:rsidR="005170AC" w:rsidRPr="005170AC" w:rsidRDefault="005170AC" w:rsidP="005170AC">
                <w:pPr>
                  <w:rPr>
                    <w:rFonts w:eastAsia="Times New Roman" w:cs="Times New Roman"/>
                    <w:sz w:val="20"/>
                    <w:szCs w:val="20"/>
                    <w:lang w:eastAsia="es-ES"/>
                  </w:rPr>
                </w:pPr>
                <w:r w:rsidRPr="005170AC">
                  <w:rPr>
                    <w:rFonts w:eastAsia="Times New Roman" w:cs="Times New Roman"/>
                    <w:sz w:val="20"/>
                    <w:szCs w:val="20"/>
                    <w:lang w:eastAsia="es-ES"/>
                  </w:rPr>
                  <w:t>GRUPO</w:t>
                </w:r>
              </w:p>
            </w:tc>
            <w:tc>
              <w:tcPr>
                <w:tcW w:w="1616" w:type="dxa"/>
                <w:noWrap/>
                <w:hideMark/>
              </w:tcPr>
              <w:p w:rsidR="005170AC" w:rsidRPr="005170AC" w:rsidRDefault="005170AC" w:rsidP="005170A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ADECUARA</w:t>
                </w:r>
              </w:p>
            </w:tc>
            <w:tc>
              <w:tcPr>
                <w:tcW w:w="1371" w:type="dxa"/>
                <w:noWrap/>
                <w:hideMark/>
              </w:tcPr>
              <w:p w:rsidR="005170AC" w:rsidRPr="005170AC" w:rsidRDefault="005170AC" w:rsidP="005170A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274" w:type="dxa"/>
                <w:noWrap/>
                <w:hideMark/>
              </w:tcPr>
              <w:p w:rsidR="005170AC" w:rsidRPr="005170AC" w:rsidRDefault="005170AC" w:rsidP="005170A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372" w:type="dxa"/>
                <w:noWrap/>
                <w:hideMark/>
              </w:tcPr>
              <w:p w:rsidR="005170AC" w:rsidRPr="005170AC" w:rsidRDefault="005170AC" w:rsidP="005170AC">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r>
          <w:tr w:rsidR="005170AC" w:rsidRPr="005170AC" w:rsidTr="005170A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2" w:type="dxa"/>
                <w:vMerge w:val="restart"/>
                <w:hideMark/>
              </w:tcPr>
              <w:p w:rsidR="005170AC" w:rsidRPr="005170AC" w:rsidRDefault="005170AC" w:rsidP="005170AC">
                <w:pPr>
                  <w:jc w:val="center"/>
                  <w:rPr>
                    <w:rFonts w:eastAsia="Times New Roman" w:cs="Times New Roman"/>
                    <w:sz w:val="20"/>
                    <w:szCs w:val="20"/>
                    <w:lang w:eastAsia="es-ES"/>
                  </w:rPr>
                </w:pPr>
                <w:r w:rsidRPr="005170AC">
                  <w:rPr>
                    <w:rFonts w:eastAsia="Times New Roman" w:cs="Times New Roman"/>
                    <w:sz w:val="20"/>
                    <w:szCs w:val="20"/>
                    <w:lang w:eastAsia="es-ES"/>
                  </w:rPr>
                  <w:t>Clasificación zona</w:t>
                </w:r>
              </w:p>
            </w:tc>
            <w:tc>
              <w:tcPr>
                <w:tcW w:w="2987" w:type="dxa"/>
                <w:gridSpan w:val="2"/>
                <w:noWrap/>
                <w:hideMark/>
              </w:tcPr>
              <w:p w:rsidR="005170AC" w:rsidRPr="005170AC" w:rsidRDefault="005170AC" w:rsidP="005170A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roofErr w:type="spellStart"/>
                <w:r w:rsidRPr="005170AC">
                  <w:rPr>
                    <w:rFonts w:eastAsia="Times New Roman" w:cs="Times New Roman"/>
                    <w:b/>
                    <w:bCs/>
                    <w:sz w:val="20"/>
                    <w:szCs w:val="20"/>
                    <w:lang w:eastAsia="es-ES"/>
                  </w:rPr>
                  <w:t>Poblacion</w:t>
                </w:r>
                <w:proofErr w:type="spellEnd"/>
              </w:p>
            </w:tc>
            <w:tc>
              <w:tcPr>
                <w:tcW w:w="2646" w:type="dxa"/>
                <w:gridSpan w:val="2"/>
                <w:noWrap/>
                <w:hideMark/>
              </w:tcPr>
              <w:p w:rsidR="005170AC" w:rsidRPr="005170AC" w:rsidRDefault="005170AC" w:rsidP="005170A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5170AC">
                  <w:rPr>
                    <w:rFonts w:eastAsia="Times New Roman" w:cs="Times New Roman"/>
                    <w:b/>
                    <w:bCs/>
                    <w:sz w:val="20"/>
                    <w:szCs w:val="20"/>
                    <w:lang w:eastAsia="es-ES"/>
                  </w:rPr>
                  <w:t>Localidades</w:t>
                </w:r>
              </w:p>
            </w:tc>
          </w:tr>
          <w:tr w:rsidR="005170AC" w:rsidRPr="005170AC" w:rsidTr="005170AC">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2" w:type="dxa"/>
                <w:vMerge/>
                <w:hideMark/>
              </w:tcPr>
              <w:p w:rsidR="005170AC" w:rsidRPr="005170AC" w:rsidRDefault="005170AC" w:rsidP="005170AC">
                <w:pPr>
                  <w:rPr>
                    <w:rFonts w:eastAsia="Times New Roman" w:cs="Times New Roman"/>
                    <w:sz w:val="20"/>
                    <w:szCs w:val="20"/>
                    <w:lang w:eastAsia="es-ES"/>
                  </w:rPr>
                </w:pPr>
              </w:p>
            </w:tc>
            <w:tc>
              <w:tcPr>
                <w:tcW w:w="1616" w:type="dxa"/>
                <w:noWrap/>
                <w:hideMark/>
              </w:tcPr>
              <w:p w:rsidR="005170AC" w:rsidRPr="005170AC" w:rsidRDefault="005170AC" w:rsidP="005170AC">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170AC">
                  <w:rPr>
                    <w:rFonts w:eastAsia="Times New Roman" w:cs="Times New Roman"/>
                    <w:b/>
                    <w:bCs/>
                    <w:sz w:val="20"/>
                    <w:szCs w:val="20"/>
                    <w:lang w:eastAsia="es-ES"/>
                  </w:rPr>
                  <w:t>Nº</w:t>
                </w:r>
              </w:p>
            </w:tc>
            <w:tc>
              <w:tcPr>
                <w:tcW w:w="1371" w:type="dxa"/>
                <w:noWrap/>
                <w:hideMark/>
              </w:tcPr>
              <w:p w:rsidR="005170AC" w:rsidRPr="005170AC" w:rsidRDefault="005170AC" w:rsidP="005170AC">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170AC">
                  <w:rPr>
                    <w:rFonts w:eastAsia="Times New Roman" w:cs="Times New Roman"/>
                    <w:b/>
                    <w:bCs/>
                    <w:sz w:val="20"/>
                    <w:szCs w:val="20"/>
                    <w:lang w:eastAsia="es-ES"/>
                  </w:rPr>
                  <w:t>%</w:t>
                </w:r>
              </w:p>
            </w:tc>
            <w:tc>
              <w:tcPr>
                <w:tcW w:w="1274" w:type="dxa"/>
                <w:noWrap/>
                <w:hideMark/>
              </w:tcPr>
              <w:p w:rsidR="005170AC" w:rsidRPr="005170AC" w:rsidRDefault="005170AC" w:rsidP="005170AC">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170AC">
                  <w:rPr>
                    <w:rFonts w:eastAsia="Times New Roman" w:cs="Times New Roman"/>
                    <w:b/>
                    <w:bCs/>
                    <w:sz w:val="20"/>
                    <w:szCs w:val="20"/>
                    <w:lang w:eastAsia="es-ES"/>
                  </w:rPr>
                  <w:t>Nº</w:t>
                </w:r>
              </w:p>
            </w:tc>
            <w:tc>
              <w:tcPr>
                <w:tcW w:w="1372" w:type="dxa"/>
                <w:noWrap/>
                <w:hideMark/>
              </w:tcPr>
              <w:p w:rsidR="005170AC" w:rsidRPr="005170AC" w:rsidRDefault="005170AC" w:rsidP="005170AC">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5170AC">
                  <w:rPr>
                    <w:rFonts w:eastAsia="Times New Roman" w:cs="Times New Roman"/>
                    <w:b/>
                    <w:bCs/>
                    <w:sz w:val="20"/>
                    <w:szCs w:val="20"/>
                    <w:lang w:eastAsia="es-ES"/>
                  </w:rPr>
                  <w:t>%</w:t>
                </w:r>
              </w:p>
            </w:tc>
          </w:tr>
          <w:tr w:rsidR="005170AC" w:rsidRPr="005170AC" w:rsidTr="005170A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2" w:type="dxa"/>
                <w:noWrap/>
                <w:hideMark/>
              </w:tcPr>
              <w:p w:rsidR="005170AC" w:rsidRPr="005170AC" w:rsidRDefault="005170AC" w:rsidP="005170AC">
                <w:pPr>
                  <w:rPr>
                    <w:rFonts w:eastAsia="Times New Roman" w:cs="Times New Roman"/>
                    <w:sz w:val="20"/>
                    <w:szCs w:val="20"/>
                    <w:lang w:eastAsia="es-ES"/>
                  </w:rPr>
                </w:pPr>
                <w:r w:rsidRPr="005170AC">
                  <w:rPr>
                    <w:rFonts w:eastAsia="Times New Roman" w:cs="Times New Roman"/>
                    <w:sz w:val="20"/>
                    <w:szCs w:val="20"/>
                    <w:lang w:eastAsia="es-ES"/>
                  </w:rPr>
                  <w:t>Zona rural (&lt;2000)</w:t>
                </w:r>
              </w:p>
            </w:tc>
            <w:tc>
              <w:tcPr>
                <w:tcW w:w="1616"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9518</w:t>
                </w:r>
              </w:p>
            </w:tc>
            <w:tc>
              <w:tcPr>
                <w:tcW w:w="1371"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28,96%</w:t>
                </w:r>
              </w:p>
            </w:tc>
            <w:tc>
              <w:tcPr>
                <w:tcW w:w="1274"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26</w:t>
                </w:r>
              </w:p>
            </w:tc>
            <w:tc>
              <w:tcPr>
                <w:tcW w:w="1372"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92,86%</w:t>
                </w:r>
              </w:p>
            </w:tc>
          </w:tr>
          <w:tr w:rsidR="005170AC" w:rsidRPr="005170AC" w:rsidTr="005170AC">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2" w:type="dxa"/>
                <w:noWrap/>
                <w:hideMark/>
              </w:tcPr>
              <w:p w:rsidR="005170AC" w:rsidRPr="005170AC" w:rsidRDefault="005170AC" w:rsidP="005170AC">
                <w:pPr>
                  <w:rPr>
                    <w:rFonts w:eastAsia="Times New Roman" w:cs="Times New Roman"/>
                    <w:sz w:val="20"/>
                    <w:szCs w:val="20"/>
                    <w:lang w:eastAsia="es-ES"/>
                  </w:rPr>
                </w:pPr>
                <w:r w:rsidRPr="005170AC">
                  <w:rPr>
                    <w:rFonts w:eastAsia="Times New Roman" w:cs="Times New Roman"/>
                    <w:sz w:val="20"/>
                    <w:szCs w:val="20"/>
                    <w:lang w:eastAsia="es-ES"/>
                  </w:rPr>
                  <w:t>Zona intermedia (&lt; 10000)</w:t>
                </w:r>
              </w:p>
            </w:tc>
            <w:tc>
              <w:tcPr>
                <w:tcW w:w="1616"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0</w:t>
                </w:r>
              </w:p>
            </w:tc>
            <w:tc>
              <w:tcPr>
                <w:tcW w:w="1371"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0,00%</w:t>
                </w:r>
              </w:p>
            </w:tc>
            <w:tc>
              <w:tcPr>
                <w:tcW w:w="1274"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0</w:t>
                </w:r>
              </w:p>
            </w:tc>
            <w:tc>
              <w:tcPr>
                <w:tcW w:w="1372"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0,00%</w:t>
                </w:r>
              </w:p>
            </w:tc>
          </w:tr>
          <w:tr w:rsidR="005170AC" w:rsidRPr="005170AC" w:rsidTr="005170AC">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2" w:type="dxa"/>
                <w:noWrap/>
                <w:hideMark/>
              </w:tcPr>
              <w:p w:rsidR="005170AC" w:rsidRPr="005170AC" w:rsidRDefault="005170AC" w:rsidP="005170AC">
                <w:pPr>
                  <w:rPr>
                    <w:rFonts w:eastAsia="Times New Roman" w:cs="Times New Roman"/>
                    <w:sz w:val="20"/>
                    <w:szCs w:val="20"/>
                    <w:lang w:eastAsia="es-ES"/>
                  </w:rPr>
                </w:pPr>
                <w:r w:rsidRPr="005170AC">
                  <w:rPr>
                    <w:rFonts w:eastAsia="Times New Roman" w:cs="Times New Roman"/>
                    <w:sz w:val="20"/>
                    <w:szCs w:val="20"/>
                    <w:lang w:eastAsia="es-ES"/>
                  </w:rPr>
                  <w:t>Zona urbana (&gt; 10000)</w:t>
                </w:r>
              </w:p>
            </w:tc>
            <w:tc>
              <w:tcPr>
                <w:tcW w:w="1616"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23350</w:t>
                </w:r>
              </w:p>
            </w:tc>
            <w:tc>
              <w:tcPr>
                <w:tcW w:w="1371"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71,04%</w:t>
                </w:r>
              </w:p>
            </w:tc>
            <w:tc>
              <w:tcPr>
                <w:tcW w:w="1274"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2</w:t>
                </w:r>
              </w:p>
            </w:tc>
            <w:tc>
              <w:tcPr>
                <w:tcW w:w="1372" w:type="dxa"/>
                <w:noWrap/>
                <w:hideMark/>
              </w:tcPr>
              <w:p w:rsidR="005170AC" w:rsidRPr="005170AC" w:rsidRDefault="005170AC" w:rsidP="005170A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7,14%</w:t>
                </w:r>
              </w:p>
            </w:tc>
          </w:tr>
          <w:tr w:rsidR="005170AC" w:rsidRPr="005170AC" w:rsidTr="005170AC">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22" w:type="dxa"/>
                <w:noWrap/>
                <w:hideMark/>
              </w:tcPr>
              <w:p w:rsidR="005170AC" w:rsidRPr="005170AC" w:rsidRDefault="005170AC" w:rsidP="005170AC">
                <w:pPr>
                  <w:rPr>
                    <w:rFonts w:eastAsia="Times New Roman" w:cs="Times New Roman"/>
                    <w:sz w:val="20"/>
                    <w:szCs w:val="20"/>
                    <w:lang w:eastAsia="es-ES"/>
                  </w:rPr>
                </w:pPr>
                <w:r w:rsidRPr="005170AC">
                  <w:rPr>
                    <w:rFonts w:eastAsia="Times New Roman" w:cs="Times New Roman"/>
                    <w:sz w:val="20"/>
                    <w:szCs w:val="20"/>
                    <w:lang w:eastAsia="es-ES"/>
                  </w:rPr>
                  <w:t>Total</w:t>
                </w:r>
              </w:p>
            </w:tc>
            <w:tc>
              <w:tcPr>
                <w:tcW w:w="1616"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32868</w:t>
                </w:r>
              </w:p>
            </w:tc>
            <w:tc>
              <w:tcPr>
                <w:tcW w:w="1371"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100,00%</w:t>
                </w:r>
              </w:p>
            </w:tc>
            <w:tc>
              <w:tcPr>
                <w:tcW w:w="1274"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28</w:t>
                </w:r>
              </w:p>
            </w:tc>
            <w:tc>
              <w:tcPr>
                <w:tcW w:w="1372" w:type="dxa"/>
                <w:noWrap/>
                <w:hideMark/>
              </w:tcPr>
              <w:p w:rsidR="005170AC" w:rsidRPr="005170AC" w:rsidRDefault="005170AC" w:rsidP="005170AC">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5170AC">
                  <w:rPr>
                    <w:rFonts w:eastAsia="Times New Roman"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D02DFF" w:rsidP="00DA6CCE">
          <w:pPr>
            <w:pStyle w:val="Prrafodelista"/>
            <w:ind w:left="284"/>
            <w:jc w:val="both"/>
            <w:rPr>
              <w:noProof/>
              <w:lang w:eastAsia="es-ES"/>
            </w:rPr>
          </w:pPr>
          <w:r>
            <w:rPr>
              <w:noProof/>
              <w:lang w:eastAsia="es-ES"/>
            </w:rPr>
            <w:drawing>
              <wp:inline distT="0" distB="0" distL="0" distR="0" wp14:anchorId="04A3B82F" wp14:editId="31D89E23">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5047FE" w:rsidRDefault="005047FE" w:rsidP="00DA6CCE">
          <w:pPr>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D02DFF" w:rsidP="00DA6CCE">
          <w:pPr>
            <w:pStyle w:val="Prrafodelista"/>
            <w:jc w:val="both"/>
            <w:rPr>
              <w:b/>
              <w:sz w:val="24"/>
              <w:szCs w:val="24"/>
            </w:rPr>
          </w:pPr>
          <w:r>
            <w:rPr>
              <w:noProof/>
              <w:lang w:eastAsia="es-ES"/>
            </w:rPr>
            <w:drawing>
              <wp:inline distT="0" distB="0" distL="0" distR="0" wp14:anchorId="5891E6EA" wp14:editId="3255EC5B">
                <wp:extent cx="5140960" cy="2550160"/>
                <wp:effectExtent l="0" t="0" r="21590" b="2159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DA6CCE">
          <w:pPr>
            <w:pStyle w:val="Prrafodelista"/>
            <w:jc w:val="both"/>
            <w:rPr>
              <w:sz w:val="24"/>
              <w:szCs w:val="24"/>
            </w:rPr>
          </w:pPr>
        </w:p>
        <w:p w:rsidR="00533C22" w:rsidRDefault="00D02DFF" w:rsidP="00DA6CCE">
          <w:pPr>
            <w:pStyle w:val="Prrafodelista"/>
            <w:ind w:left="567"/>
            <w:jc w:val="both"/>
            <w:rPr>
              <w:sz w:val="24"/>
              <w:szCs w:val="24"/>
            </w:rPr>
          </w:pPr>
          <w:r w:rsidRPr="00D02DFF">
            <w:rPr>
              <w:noProof/>
              <w:lang w:eastAsia="es-ES"/>
            </w:rPr>
            <w:drawing>
              <wp:inline distT="0" distB="0" distL="0" distR="0" wp14:anchorId="70730677" wp14:editId="07CBFDAB">
                <wp:extent cx="5371120" cy="112776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133832"/>
                        </a:xfrm>
                        <a:prstGeom prst="rect">
                          <a:avLst/>
                        </a:prstGeom>
                        <a:noFill/>
                        <a:ln>
                          <a:noFill/>
                        </a:ln>
                      </pic:spPr>
                    </pic:pic>
                  </a:graphicData>
                </a:graphic>
              </wp:inline>
            </w:drawing>
          </w:r>
        </w:p>
        <w:p w:rsidR="00533C22" w:rsidRDefault="00533C22" w:rsidP="00DA6CCE">
          <w:pPr>
            <w:pStyle w:val="Prrafodelista"/>
            <w:jc w:val="both"/>
            <w:rPr>
              <w:sz w:val="24"/>
              <w:szCs w:val="24"/>
            </w:rPr>
          </w:pPr>
        </w:p>
        <w:p w:rsidR="00533C22" w:rsidRPr="00B26632" w:rsidRDefault="00533C22" w:rsidP="00DA6CCE">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533C22" w:rsidP="00DA6CCE">
          <w:pPr>
            <w:pStyle w:val="Prrafodelista"/>
            <w:jc w:val="both"/>
            <w:rPr>
              <w:sz w:val="24"/>
              <w:szCs w:val="24"/>
            </w:rPr>
          </w:pPr>
        </w:p>
        <w:p w:rsidR="00533C22" w:rsidRDefault="00D02DFF" w:rsidP="00D02DFF">
          <w:pPr>
            <w:pStyle w:val="Prrafodelista"/>
            <w:ind w:left="567"/>
            <w:jc w:val="center"/>
            <w:rPr>
              <w:sz w:val="24"/>
              <w:szCs w:val="24"/>
            </w:rPr>
          </w:pPr>
          <w:r w:rsidRPr="00D02DFF">
            <w:rPr>
              <w:noProof/>
              <w:lang w:eastAsia="es-ES"/>
            </w:rPr>
            <w:drawing>
              <wp:inline distT="0" distB="0" distL="0" distR="0" wp14:anchorId="6CAB79E8" wp14:editId="09709C31">
                <wp:extent cx="5464959" cy="1270000"/>
                <wp:effectExtent l="0" t="0" r="254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931" cy="1276268"/>
                        </a:xfrm>
                        <a:prstGeom prst="rect">
                          <a:avLst/>
                        </a:prstGeom>
                        <a:noFill/>
                        <a:ln>
                          <a:noFill/>
                        </a:ln>
                      </pic:spPr>
                    </pic:pic>
                  </a:graphicData>
                </a:graphic>
              </wp:inline>
            </w:drawing>
          </w:r>
        </w:p>
        <w:p w:rsidR="00533C22" w:rsidRDefault="00533C22" w:rsidP="00DA6CCE">
          <w:pPr>
            <w:jc w:val="both"/>
            <w:rPr>
              <w:sz w:val="24"/>
              <w:szCs w:val="24"/>
            </w:rPr>
          </w:pPr>
        </w:p>
        <w:p w:rsidR="00AF7330" w:rsidRDefault="00AF7330" w:rsidP="00DA6CCE">
          <w:pPr>
            <w:jc w:val="both"/>
            <w:rPr>
              <w:sz w:val="24"/>
              <w:szCs w:val="24"/>
            </w:rPr>
          </w:pPr>
        </w:p>
        <w:p w:rsidR="005170AC" w:rsidRPr="0092710E" w:rsidRDefault="005170AC"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D02DFF" w:rsidP="00DA6CCE">
          <w:pPr>
            <w:pStyle w:val="Prrafodelista"/>
            <w:ind w:left="426"/>
            <w:jc w:val="both"/>
          </w:pPr>
          <w:r w:rsidRPr="00D02DFF">
            <w:rPr>
              <w:noProof/>
              <w:lang w:eastAsia="es-ES"/>
            </w:rPr>
            <w:drawing>
              <wp:inline distT="0" distB="0" distL="0" distR="0" wp14:anchorId="2CD05D8B" wp14:editId="50A15970">
                <wp:extent cx="5547360" cy="4673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108" cy="470793"/>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D02DFF" w:rsidP="00DA6CCE">
          <w:pPr>
            <w:pStyle w:val="Prrafodelista"/>
            <w:ind w:left="426"/>
            <w:jc w:val="both"/>
            <w:rPr>
              <w:b/>
              <w:sz w:val="24"/>
              <w:szCs w:val="24"/>
            </w:rPr>
          </w:pPr>
          <w:r w:rsidRPr="00D02DFF">
            <w:rPr>
              <w:noProof/>
              <w:lang w:eastAsia="es-ES"/>
            </w:rPr>
            <w:drawing>
              <wp:inline distT="0" distB="0" distL="0" distR="0" wp14:anchorId="1FD8A3BB" wp14:editId="550E0CCE">
                <wp:extent cx="5539540" cy="457200"/>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226" cy="460558"/>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D02DFF" w:rsidP="00DA6CCE">
          <w:pPr>
            <w:pStyle w:val="Prrafodelista"/>
            <w:ind w:left="426"/>
            <w:jc w:val="both"/>
            <w:rPr>
              <w:b/>
              <w:sz w:val="24"/>
              <w:szCs w:val="24"/>
            </w:rPr>
          </w:pPr>
          <w:r w:rsidRPr="00D02DFF">
            <w:rPr>
              <w:noProof/>
              <w:lang w:eastAsia="es-ES"/>
            </w:rPr>
            <w:drawing>
              <wp:inline distT="0" distB="0" distL="0" distR="0" wp14:anchorId="65417801" wp14:editId="1BA5BB6C">
                <wp:extent cx="5587998" cy="4470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9044" cy="450324"/>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004B28" w:rsidP="00DA6CCE">
          <w:pPr>
            <w:pStyle w:val="Prrafodelista"/>
            <w:jc w:val="both"/>
            <w:rPr>
              <w:b/>
              <w:sz w:val="24"/>
              <w:szCs w:val="24"/>
            </w:rPr>
          </w:pPr>
          <w:r>
            <w:rPr>
              <w:noProof/>
              <w:lang w:eastAsia="es-ES"/>
            </w:rPr>
            <w:drawing>
              <wp:inline distT="0" distB="0" distL="0" distR="0" wp14:anchorId="3095AC2C" wp14:editId="5F9648CF">
                <wp:extent cx="5364480" cy="2458720"/>
                <wp:effectExtent l="38100" t="0" r="26670" b="1778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726C60" w:rsidP="00DA6CCE">
          <w:pPr>
            <w:pStyle w:val="Prrafodelista"/>
            <w:ind w:left="567" w:right="-1" w:firstLine="142"/>
            <w:jc w:val="both"/>
            <w:rPr>
              <w:b/>
              <w:sz w:val="24"/>
              <w:szCs w:val="24"/>
            </w:rPr>
          </w:pPr>
          <w:r>
            <w:rPr>
              <w:noProof/>
              <w:lang w:eastAsia="es-ES"/>
            </w:rPr>
            <w:drawing>
              <wp:inline distT="0" distB="0" distL="0" distR="0" wp14:anchorId="51BF766E" wp14:editId="730A1B1D">
                <wp:extent cx="5354320" cy="2682240"/>
                <wp:effectExtent l="0" t="0" r="17780" b="228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004B28" w:rsidRDefault="00004B28" w:rsidP="00DA6CCE">
          <w:pPr>
            <w:pStyle w:val="Prrafodelista"/>
            <w:ind w:left="567" w:right="-1" w:firstLine="142"/>
            <w:jc w:val="both"/>
            <w:rPr>
              <w:b/>
              <w:sz w:val="24"/>
              <w:szCs w:val="24"/>
            </w:rPr>
          </w:pPr>
        </w:p>
        <w:p w:rsidR="00004B28" w:rsidRDefault="00004B28" w:rsidP="00DA6CCE">
          <w:pPr>
            <w:pStyle w:val="Prrafodelista"/>
            <w:ind w:left="567" w:right="-1" w:firstLine="142"/>
            <w:jc w:val="both"/>
            <w:rPr>
              <w:b/>
              <w:sz w:val="24"/>
              <w:szCs w:val="24"/>
            </w:rPr>
          </w:pPr>
        </w:p>
        <w:p w:rsidR="00004B28" w:rsidRPr="0084696C" w:rsidRDefault="00004B28" w:rsidP="0084696C">
          <w:pPr>
            <w:ind w:right="-1"/>
            <w:jc w:val="both"/>
            <w:rPr>
              <w:b/>
              <w:sz w:val="24"/>
              <w:szCs w:val="24"/>
            </w:rPr>
          </w:pPr>
        </w:p>
        <w:p w:rsidR="00906EF5" w:rsidRPr="00187242" w:rsidRDefault="00906EF5" w:rsidP="00DA6CCE">
          <w:pPr>
            <w:pStyle w:val="Prrafodelista"/>
            <w:numPr>
              <w:ilvl w:val="0"/>
              <w:numId w:val="1"/>
            </w:numPr>
            <w:jc w:val="both"/>
            <w:rPr>
              <w:b/>
              <w:sz w:val="24"/>
              <w:szCs w:val="24"/>
            </w:rPr>
          </w:pPr>
          <w:r w:rsidRPr="00187242">
            <w:rPr>
              <w:b/>
              <w:sz w:val="24"/>
              <w:szCs w:val="24"/>
            </w:rPr>
            <w:lastRenderedPageBreak/>
            <w:t>Tasas e indicadores:</w:t>
          </w:r>
        </w:p>
        <w:tbl>
          <w:tblPr>
            <w:tblStyle w:val="Sombreadomedio1-nfasis4"/>
            <w:tblW w:w="7720" w:type="dxa"/>
            <w:tblInd w:w="817" w:type="dxa"/>
            <w:tblLook w:val="04A0" w:firstRow="1" w:lastRow="0" w:firstColumn="1" w:lastColumn="0" w:noHBand="0" w:noVBand="1"/>
          </w:tblPr>
          <w:tblGrid>
            <w:gridCol w:w="2500"/>
            <w:gridCol w:w="2420"/>
            <w:gridCol w:w="2800"/>
          </w:tblGrid>
          <w:tr w:rsidR="00980299" w:rsidRPr="00980299" w:rsidTr="00980299">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980299" w:rsidRPr="00980299" w:rsidRDefault="00980299" w:rsidP="00980299">
                <w:pPr>
                  <w:jc w:val="center"/>
                  <w:rPr>
                    <w:rFonts w:eastAsia="Times New Roman" w:cs="Times New Roman"/>
                    <w:sz w:val="20"/>
                    <w:szCs w:val="20"/>
                    <w:lang w:eastAsia="es-ES"/>
                  </w:rPr>
                </w:pPr>
                <w:r w:rsidRPr="00980299">
                  <w:rPr>
                    <w:rFonts w:eastAsia="Times New Roman" w:cs="Times New Roman"/>
                    <w:sz w:val="20"/>
                    <w:szCs w:val="20"/>
                    <w:lang w:eastAsia="es-ES"/>
                  </w:rPr>
                  <w:t>Tasa de masculinidad</w:t>
                </w:r>
              </w:p>
            </w:tc>
            <w:tc>
              <w:tcPr>
                <w:tcW w:w="2420" w:type="dxa"/>
                <w:vMerge w:val="restart"/>
                <w:noWrap/>
                <w:hideMark/>
              </w:tcPr>
              <w:p w:rsidR="00980299" w:rsidRPr="00980299" w:rsidRDefault="00980299" w:rsidP="009802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980299">
                  <w:rPr>
                    <w:rFonts w:eastAsia="Times New Roman" w:cs="Times New Roman"/>
                    <w:sz w:val="20"/>
                    <w:szCs w:val="20"/>
                    <w:lang w:eastAsia="es-ES"/>
                  </w:rPr>
                  <w:t>Aragón</w:t>
                </w:r>
              </w:p>
            </w:tc>
            <w:tc>
              <w:tcPr>
                <w:tcW w:w="2800" w:type="dxa"/>
                <w:vMerge w:val="restart"/>
                <w:noWrap/>
                <w:hideMark/>
              </w:tcPr>
              <w:p w:rsidR="00980299" w:rsidRPr="00980299" w:rsidRDefault="00980299" w:rsidP="0098029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980299">
                  <w:rPr>
                    <w:rFonts w:eastAsia="Times New Roman" w:cs="Times New Roman"/>
                    <w:sz w:val="20"/>
                    <w:szCs w:val="20"/>
                    <w:lang w:eastAsia="es-ES"/>
                  </w:rPr>
                  <w:t>GAL</w:t>
                </w: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vMerge/>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98,94%</w:t>
                </w:r>
              </w:p>
            </w:tc>
            <w:tc>
              <w:tcPr>
                <w:tcW w:w="2800" w:type="dxa"/>
                <w:noWrap/>
                <w:hideMark/>
              </w:tcPr>
              <w:p w:rsidR="00980299" w:rsidRPr="00980299" w:rsidRDefault="00980299" w:rsidP="0098029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104,66%</w:t>
                </w: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500" w:type="dxa"/>
                <w:hideMark/>
              </w:tcPr>
              <w:p w:rsidR="00980299" w:rsidRPr="00980299" w:rsidRDefault="00980299" w:rsidP="00980299">
                <w:pPr>
                  <w:rPr>
                    <w:rFonts w:eastAsia="Times New Roman" w:cs="Times New Roman"/>
                    <w:sz w:val="20"/>
                    <w:szCs w:val="20"/>
                    <w:lang w:eastAsia="es-ES"/>
                  </w:rPr>
                </w:pPr>
                <w:r w:rsidRPr="00980299">
                  <w:rPr>
                    <w:rFonts w:eastAsia="Times New Roman" w:cs="Times New Roman"/>
                    <w:sz w:val="20"/>
                    <w:szCs w:val="20"/>
                    <w:lang w:eastAsia="es-ES"/>
                  </w:rPr>
                  <w:t>(número de varones dividido entre número de mujeres</w:t>
                </w:r>
              </w:p>
            </w:tc>
            <w:tc>
              <w:tcPr>
                <w:tcW w:w="242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980299" w:rsidRPr="00980299" w:rsidRDefault="00980299" w:rsidP="00980299">
                <w:pPr>
                  <w:jc w:val="center"/>
                  <w:rPr>
                    <w:rFonts w:eastAsia="Times New Roman" w:cs="Times New Roman"/>
                    <w:sz w:val="20"/>
                    <w:szCs w:val="20"/>
                    <w:lang w:eastAsia="es-ES"/>
                  </w:rPr>
                </w:pPr>
                <w:r w:rsidRPr="00980299">
                  <w:rPr>
                    <w:rFonts w:eastAsia="Times New Roman" w:cs="Times New Roman"/>
                    <w:sz w:val="20"/>
                    <w:szCs w:val="20"/>
                    <w:lang w:eastAsia="es-ES"/>
                  </w:rPr>
                  <w:t>Índice de maternidad</w:t>
                </w:r>
              </w:p>
            </w:tc>
            <w:tc>
              <w:tcPr>
                <w:tcW w:w="2420" w:type="dxa"/>
                <w:vMerge w:val="restart"/>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Aragón</w:t>
                </w:r>
              </w:p>
            </w:tc>
            <w:tc>
              <w:tcPr>
                <w:tcW w:w="2800" w:type="dxa"/>
                <w:vMerge w:val="restart"/>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GAL</w:t>
                </w: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vMerge/>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20,92%</w:t>
                </w:r>
              </w:p>
            </w:tc>
            <w:tc>
              <w:tcPr>
                <w:tcW w:w="2800" w:type="dxa"/>
                <w:noWrap/>
                <w:hideMark/>
              </w:tcPr>
              <w:p w:rsidR="00980299" w:rsidRPr="00980299" w:rsidRDefault="00980299" w:rsidP="0098029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18,65%</w:t>
                </w: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00" w:type="dxa"/>
                <w:hideMark/>
              </w:tcPr>
              <w:p w:rsidR="00980299" w:rsidRPr="00980299" w:rsidRDefault="00980299" w:rsidP="00980299">
                <w:pPr>
                  <w:rPr>
                    <w:rFonts w:eastAsia="Times New Roman" w:cs="Times New Roman"/>
                    <w:sz w:val="20"/>
                    <w:szCs w:val="20"/>
                    <w:lang w:eastAsia="es-ES"/>
                  </w:rPr>
                </w:pPr>
                <w:r w:rsidRPr="00980299">
                  <w:rPr>
                    <w:rFonts w:eastAsia="Times New Roman" w:cs="Times New Roman"/>
                    <w:sz w:val="20"/>
                    <w:szCs w:val="20"/>
                    <w:lang w:eastAsia="es-ES"/>
                  </w:rPr>
                  <w:t>(número de niños de 0 a4 años entre mujeres de 15 a 49)</w:t>
                </w:r>
              </w:p>
            </w:tc>
            <w:tc>
              <w:tcPr>
                <w:tcW w:w="2420" w:type="dxa"/>
                <w:noWrap/>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980299" w:rsidRPr="00980299" w:rsidRDefault="00980299" w:rsidP="00980299">
                <w:pPr>
                  <w:jc w:val="center"/>
                  <w:rPr>
                    <w:rFonts w:eastAsia="Times New Roman" w:cs="Times New Roman"/>
                    <w:sz w:val="20"/>
                    <w:szCs w:val="20"/>
                    <w:lang w:eastAsia="es-ES"/>
                  </w:rPr>
                </w:pPr>
                <w:r w:rsidRPr="00980299">
                  <w:rPr>
                    <w:rFonts w:eastAsia="Times New Roman" w:cs="Times New Roman"/>
                    <w:sz w:val="20"/>
                    <w:szCs w:val="20"/>
                    <w:lang w:eastAsia="es-ES"/>
                  </w:rPr>
                  <w:t>Índice de potencialidad</w:t>
                </w:r>
              </w:p>
            </w:tc>
            <w:tc>
              <w:tcPr>
                <w:tcW w:w="2420" w:type="dxa"/>
                <w:vMerge w:val="restart"/>
                <w:noWrap/>
                <w:hideMark/>
              </w:tcPr>
              <w:p w:rsidR="00980299" w:rsidRPr="00980299" w:rsidRDefault="00980299" w:rsidP="00980299">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Aragón</w:t>
                </w:r>
              </w:p>
            </w:tc>
            <w:tc>
              <w:tcPr>
                <w:tcW w:w="2800" w:type="dxa"/>
                <w:vMerge w:val="restart"/>
                <w:noWrap/>
                <w:hideMark/>
              </w:tcPr>
              <w:p w:rsidR="00980299" w:rsidRPr="00980299" w:rsidRDefault="00980299" w:rsidP="00980299">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GAL</w:t>
                </w: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vMerge/>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77,01%</w:t>
                </w:r>
              </w:p>
            </w:tc>
            <w:tc>
              <w:tcPr>
                <w:tcW w:w="2800" w:type="dxa"/>
                <w:noWrap/>
                <w:hideMark/>
              </w:tcPr>
              <w:p w:rsidR="00980299" w:rsidRPr="00980299" w:rsidRDefault="00980299" w:rsidP="0098029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72,07%</w:t>
                </w: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00" w:type="dxa"/>
                <w:hideMark/>
              </w:tcPr>
              <w:p w:rsidR="00980299" w:rsidRPr="00980299" w:rsidRDefault="00980299" w:rsidP="00980299">
                <w:pPr>
                  <w:rPr>
                    <w:rFonts w:eastAsia="Times New Roman" w:cs="Times New Roman"/>
                    <w:sz w:val="20"/>
                    <w:szCs w:val="20"/>
                    <w:lang w:eastAsia="es-ES"/>
                  </w:rPr>
                </w:pPr>
                <w:r w:rsidRPr="00980299">
                  <w:rPr>
                    <w:rFonts w:eastAsia="Times New Roman" w:cs="Times New Roman"/>
                    <w:sz w:val="20"/>
                    <w:szCs w:val="20"/>
                    <w:lang w:eastAsia="es-ES"/>
                  </w:rPr>
                  <w:t>(número mujeres de 20 a 34 entre mujeres de 35 a 49)</w:t>
                </w:r>
              </w:p>
            </w:tc>
            <w:tc>
              <w:tcPr>
                <w:tcW w:w="242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noWrap/>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980299" w:rsidRPr="00980299" w:rsidRDefault="00980299" w:rsidP="00980299">
                <w:pPr>
                  <w:jc w:val="center"/>
                  <w:rPr>
                    <w:rFonts w:eastAsia="Times New Roman" w:cs="Times New Roman"/>
                    <w:sz w:val="20"/>
                    <w:szCs w:val="20"/>
                    <w:lang w:eastAsia="es-ES"/>
                  </w:rPr>
                </w:pPr>
                <w:r w:rsidRPr="00980299">
                  <w:rPr>
                    <w:rFonts w:eastAsia="Times New Roman" w:cs="Times New Roman"/>
                    <w:sz w:val="20"/>
                    <w:szCs w:val="20"/>
                    <w:lang w:eastAsia="es-ES"/>
                  </w:rPr>
                  <w:t>Coeficiente de sustitución</w:t>
                </w:r>
              </w:p>
            </w:tc>
            <w:tc>
              <w:tcPr>
                <w:tcW w:w="2420" w:type="dxa"/>
                <w:vMerge w:val="restart"/>
                <w:noWrap/>
                <w:hideMark/>
              </w:tcPr>
              <w:p w:rsidR="00980299" w:rsidRPr="00980299" w:rsidRDefault="00980299" w:rsidP="00980299">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Aragón</w:t>
                </w:r>
              </w:p>
            </w:tc>
            <w:tc>
              <w:tcPr>
                <w:tcW w:w="2800" w:type="dxa"/>
                <w:vMerge w:val="restart"/>
                <w:noWrap/>
                <w:hideMark/>
              </w:tcPr>
              <w:p w:rsidR="00980299" w:rsidRPr="00980299" w:rsidRDefault="00980299" w:rsidP="00980299">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GAL</w:t>
                </w: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vMerge/>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980299" w:rsidRPr="00980299" w:rsidTr="00980299">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500" w:type="dxa"/>
                <w:vMerge/>
                <w:hideMark/>
              </w:tcPr>
              <w:p w:rsidR="00980299" w:rsidRPr="00980299" w:rsidRDefault="00980299" w:rsidP="00980299">
                <w:pPr>
                  <w:rPr>
                    <w:rFonts w:eastAsia="Times New Roman" w:cs="Times New Roman"/>
                    <w:sz w:val="20"/>
                    <w:szCs w:val="20"/>
                    <w:lang w:eastAsia="es-ES"/>
                  </w:rPr>
                </w:pPr>
              </w:p>
            </w:tc>
            <w:tc>
              <w:tcPr>
                <w:tcW w:w="2420" w:type="dxa"/>
                <w:noWrap/>
                <w:hideMark/>
              </w:tcPr>
              <w:p w:rsidR="00980299" w:rsidRPr="00980299" w:rsidRDefault="00980299" w:rsidP="0098029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80,06%</w:t>
                </w:r>
              </w:p>
            </w:tc>
            <w:tc>
              <w:tcPr>
                <w:tcW w:w="2800" w:type="dxa"/>
                <w:noWrap/>
                <w:hideMark/>
              </w:tcPr>
              <w:p w:rsidR="00980299" w:rsidRPr="00980299" w:rsidRDefault="00980299" w:rsidP="00980299">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980299">
                  <w:rPr>
                    <w:rFonts w:eastAsia="Times New Roman" w:cs="Times New Roman"/>
                    <w:b/>
                    <w:bCs/>
                    <w:sz w:val="20"/>
                    <w:szCs w:val="20"/>
                    <w:lang w:eastAsia="es-ES"/>
                  </w:rPr>
                  <w:t>88,26%</w:t>
                </w:r>
              </w:p>
            </w:tc>
          </w:tr>
          <w:tr w:rsidR="00980299" w:rsidRPr="00980299" w:rsidTr="00980299">
            <w:trPr>
              <w:cnfStyle w:val="000000100000" w:firstRow="0" w:lastRow="0" w:firstColumn="0" w:lastColumn="0" w:oddVBand="0" w:evenVBand="0" w:oddHBand="1"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2500" w:type="dxa"/>
                <w:hideMark/>
              </w:tcPr>
              <w:p w:rsidR="00980299" w:rsidRPr="00980299" w:rsidRDefault="00980299" w:rsidP="00980299">
                <w:pPr>
                  <w:rPr>
                    <w:rFonts w:eastAsia="Times New Roman" w:cs="Times New Roman"/>
                    <w:sz w:val="20"/>
                    <w:szCs w:val="20"/>
                    <w:lang w:eastAsia="es-ES"/>
                  </w:rPr>
                </w:pPr>
                <w:r w:rsidRPr="00980299">
                  <w:rPr>
                    <w:rFonts w:eastAsia="Times New Roman" w:cs="Times New Roman"/>
                    <w:sz w:val="20"/>
                    <w:szCs w:val="20"/>
                    <w:lang w:eastAsia="es-ES"/>
                  </w:rPr>
                  <w:t>(número de personas de 10 a 14 años entre personas de 60 a 64 años)</w:t>
                </w:r>
              </w:p>
            </w:tc>
            <w:tc>
              <w:tcPr>
                <w:tcW w:w="242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EE4D4D" w:rsidRDefault="00980299" w:rsidP="00DA6CCE">
          <w:pPr>
            <w:ind w:left="142"/>
            <w:jc w:val="both"/>
            <w:rPr>
              <w:b/>
              <w:sz w:val="24"/>
              <w:szCs w:val="24"/>
            </w:rPr>
          </w:pPr>
          <w:r>
            <w:rPr>
              <w:noProof/>
              <w:lang w:eastAsia="es-ES"/>
            </w:rPr>
            <w:drawing>
              <wp:inline distT="0" distB="0" distL="0" distR="0" wp14:anchorId="129B150D" wp14:editId="5BF84722">
                <wp:extent cx="5405120" cy="2844800"/>
                <wp:effectExtent l="0" t="0" r="24130" b="1270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22AC" w:rsidRPr="00974B32" w:rsidRDefault="008222AC" w:rsidP="00DA6CCE">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t>Evolución de las defunciones (2006-2012):</w:t>
          </w:r>
        </w:p>
        <w:p w:rsidR="00B12E0D" w:rsidRDefault="00980299" w:rsidP="00DA6CCE">
          <w:pPr>
            <w:pStyle w:val="Prrafodelista"/>
            <w:jc w:val="both"/>
            <w:rPr>
              <w:b/>
              <w:sz w:val="24"/>
              <w:szCs w:val="24"/>
            </w:rPr>
          </w:pPr>
          <w:r>
            <w:rPr>
              <w:noProof/>
              <w:lang w:eastAsia="es-ES"/>
            </w:rPr>
            <w:drawing>
              <wp:inline distT="0" distB="0" distL="0" distR="0" wp14:anchorId="1191773C" wp14:editId="58A0884E">
                <wp:extent cx="5405120" cy="2722880"/>
                <wp:effectExtent l="0" t="0" r="24130" b="2032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016" w:type="dxa"/>
            <w:tblLook w:val="04A0" w:firstRow="1" w:lastRow="0" w:firstColumn="1" w:lastColumn="0" w:noHBand="0" w:noVBand="1"/>
          </w:tblPr>
          <w:tblGrid>
            <w:gridCol w:w="3645"/>
            <w:gridCol w:w="1455"/>
            <w:gridCol w:w="1384"/>
            <w:gridCol w:w="1344"/>
            <w:gridCol w:w="1188"/>
          </w:tblGrid>
          <w:tr w:rsidR="00980299" w:rsidRPr="00980299" w:rsidTr="0084696C">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w:t>
                </w:r>
              </w:p>
            </w:tc>
            <w:tc>
              <w:tcPr>
                <w:tcW w:w="2839" w:type="dxa"/>
                <w:gridSpan w:val="2"/>
                <w:noWrap/>
                <w:hideMark/>
              </w:tcPr>
              <w:p w:rsidR="00980299" w:rsidRPr="00980299" w:rsidRDefault="00980299" w:rsidP="009802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2012</w:t>
                </w:r>
              </w:p>
            </w:tc>
            <w:tc>
              <w:tcPr>
                <w:tcW w:w="2532" w:type="dxa"/>
                <w:gridSpan w:val="2"/>
                <w:noWrap/>
                <w:hideMark/>
              </w:tcPr>
              <w:p w:rsidR="00980299" w:rsidRPr="00980299" w:rsidRDefault="00980299" w:rsidP="0098029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2011</w:t>
                </w:r>
              </w:p>
            </w:tc>
          </w:tr>
          <w:tr w:rsidR="00980299" w:rsidRPr="00980299" w:rsidTr="0084696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Nacidos vivos por cada mil habitantes.</w:t>
                </w:r>
              </w:p>
            </w:tc>
            <w:tc>
              <w:tcPr>
                <w:tcW w:w="1455"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38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c>
              <w:tcPr>
                <w:tcW w:w="134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188"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r>
          <w:tr w:rsidR="00980299" w:rsidRPr="00980299" w:rsidTr="0084696C">
            <w:trPr>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Tasa Bruta de Natalidad (‰).</w:t>
                </w:r>
              </w:p>
            </w:tc>
            <w:tc>
              <w:tcPr>
                <w:tcW w:w="1455"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8,878</w:t>
                </w:r>
              </w:p>
            </w:tc>
            <w:tc>
              <w:tcPr>
                <w:tcW w:w="138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7,415</w:t>
                </w:r>
              </w:p>
            </w:tc>
            <w:tc>
              <w:tcPr>
                <w:tcW w:w="134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9,366</w:t>
                </w:r>
              </w:p>
            </w:tc>
            <w:tc>
              <w:tcPr>
                <w:tcW w:w="1188"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7,993</w:t>
                </w:r>
              </w:p>
            </w:tc>
          </w:tr>
          <w:tr w:rsidR="00980299" w:rsidRPr="00980299" w:rsidTr="0084696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Calibri" w:eastAsia="Times New Roman" w:hAnsi="Calibri" w:cs="Times New Roman"/>
                    <w:color w:val="000000"/>
                    <w:lang w:eastAsia="es-ES"/>
                  </w:rPr>
                </w:pPr>
              </w:p>
            </w:tc>
            <w:tc>
              <w:tcPr>
                <w:tcW w:w="1455"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8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4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188"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980299" w:rsidRPr="00980299" w:rsidTr="0084696C">
            <w:trPr>
              <w:trHeight w:val="276"/>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Defunciones por cada mil habitantes.</w:t>
                </w:r>
              </w:p>
            </w:tc>
            <w:tc>
              <w:tcPr>
                <w:tcW w:w="1455"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38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c>
              <w:tcPr>
                <w:tcW w:w="134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188"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r>
          <w:tr w:rsidR="00980299" w:rsidRPr="00980299" w:rsidTr="0084696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Tasa Bruta de Mortalidad (‰).</w:t>
                </w:r>
              </w:p>
            </w:tc>
            <w:tc>
              <w:tcPr>
                <w:tcW w:w="1455"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10,170</w:t>
                </w:r>
              </w:p>
            </w:tc>
            <w:tc>
              <w:tcPr>
                <w:tcW w:w="138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10,459</w:t>
                </w:r>
              </w:p>
            </w:tc>
            <w:tc>
              <w:tcPr>
                <w:tcW w:w="134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10,067</w:t>
                </w:r>
              </w:p>
            </w:tc>
            <w:tc>
              <w:tcPr>
                <w:tcW w:w="1188"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9,991</w:t>
                </w:r>
              </w:p>
            </w:tc>
          </w:tr>
          <w:tr w:rsidR="00980299" w:rsidRPr="00980299" w:rsidTr="0084696C">
            <w:trPr>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Calibri" w:eastAsia="Times New Roman" w:hAnsi="Calibri" w:cs="Times New Roman"/>
                    <w:color w:val="000000"/>
                    <w:lang w:eastAsia="es-ES"/>
                  </w:rPr>
                </w:pPr>
              </w:p>
            </w:tc>
            <w:tc>
              <w:tcPr>
                <w:tcW w:w="1455"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8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4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188"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980299" w:rsidRPr="00980299" w:rsidTr="0084696C">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645" w:type="dxa"/>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Saldo vegetativo (nacimientos menos defunciones) por cada mil habitantes.</w:t>
                </w:r>
              </w:p>
            </w:tc>
            <w:tc>
              <w:tcPr>
                <w:tcW w:w="1455"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38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c>
              <w:tcPr>
                <w:tcW w:w="134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188"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r>
          <w:tr w:rsidR="00980299" w:rsidRPr="00980299" w:rsidTr="0084696C">
            <w:trPr>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Tasa Bruta de Crecimiento Vegetativo (‰)</w:t>
                </w:r>
              </w:p>
            </w:tc>
            <w:tc>
              <w:tcPr>
                <w:tcW w:w="1455"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-1,292</w:t>
                </w:r>
              </w:p>
            </w:tc>
            <w:tc>
              <w:tcPr>
                <w:tcW w:w="138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-3,044</w:t>
                </w:r>
              </w:p>
            </w:tc>
            <w:tc>
              <w:tcPr>
                <w:tcW w:w="134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-0,700</w:t>
                </w:r>
              </w:p>
            </w:tc>
            <w:tc>
              <w:tcPr>
                <w:tcW w:w="1188"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-1,998</w:t>
                </w:r>
              </w:p>
            </w:tc>
          </w:tr>
          <w:tr w:rsidR="00980299" w:rsidRPr="00980299" w:rsidTr="0084696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Calibri" w:eastAsia="Times New Roman" w:hAnsi="Calibri" w:cs="Times New Roman"/>
                    <w:color w:val="000000"/>
                    <w:lang w:eastAsia="es-ES"/>
                  </w:rPr>
                </w:pPr>
              </w:p>
            </w:tc>
            <w:tc>
              <w:tcPr>
                <w:tcW w:w="1455"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84"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44"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188" w:type="dxa"/>
                <w:noWrap/>
                <w:hideMark/>
              </w:tcPr>
              <w:p w:rsidR="00980299" w:rsidRPr="00980299" w:rsidRDefault="00980299" w:rsidP="009802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980299" w:rsidRPr="00980299" w:rsidTr="0084696C">
            <w:trPr>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Matrimonios por cada mil habitantes.</w:t>
                </w:r>
              </w:p>
            </w:tc>
            <w:tc>
              <w:tcPr>
                <w:tcW w:w="1455"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38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c>
              <w:tcPr>
                <w:tcW w:w="1344"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 xml:space="preserve">Aragón </w:t>
                </w:r>
              </w:p>
            </w:tc>
            <w:tc>
              <w:tcPr>
                <w:tcW w:w="1188" w:type="dxa"/>
                <w:noWrap/>
                <w:hideMark/>
              </w:tcPr>
              <w:p w:rsidR="00980299" w:rsidRPr="00980299" w:rsidRDefault="00980299" w:rsidP="009802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GAL</w:t>
                </w:r>
              </w:p>
            </w:tc>
          </w:tr>
          <w:tr w:rsidR="00980299" w:rsidRPr="00980299" w:rsidTr="0084696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45" w:type="dxa"/>
                <w:noWrap/>
                <w:hideMark/>
              </w:tcPr>
              <w:p w:rsidR="00980299" w:rsidRPr="00980299" w:rsidRDefault="00980299" w:rsidP="00980299">
                <w:pPr>
                  <w:rPr>
                    <w:rFonts w:ascii="Arial" w:eastAsia="Times New Roman" w:hAnsi="Arial" w:cs="Arial"/>
                    <w:sz w:val="16"/>
                    <w:szCs w:val="16"/>
                    <w:lang w:eastAsia="es-ES"/>
                  </w:rPr>
                </w:pPr>
                <w:r w:rsidRPr="00980299">
                  <w:rPr>
                    <w:rFonts w:ascii="Arial" w:eastAsia="Times New Roman" w:hAnsi="Arial" w:cs="Arial"/>
                    <w:sz w:val="16"/>
                    <w:szCs w:val="16"/>
                    <w:lang w:eastAsia="es-ES"/>
                  </w:rPr>
                  <w:t>Tasa Bruta de Nupcialidad (‰).</w:t>
                </w:r>
              </w:p>
            </w:tc>
            <w:tc>
              <w:tcPr>
                <w:tcW w:w="1455"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3,492</w:t>
                </w:r>
              </w:p>
            </w:tc>
            <w:tc>
              <w:tcPr>
                <w:tcW w:w="138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3,074</w:t>
                </w:r>
              </w:p>
            </w:tc>
            <w:tc>
              <w:tcPr>
                <w:tcW w:w="1344"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3,205</w:t>
                </w:r>
              </w:p>
            </w:tc>
            <w:tc>
              <w:tcPr>
                <w:tcW w:w="1188" w:type="dxa"/>
                <w:noWrap/>
                <w:hideMark/>
              </w:tcPr>
              <w:p w:rsidR="00980299" w:rsidRPr="00980299" w:rsidRDefault="00980299" w:rsidP="009802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980299">
                  <w:rPr>
                    <w:rFonts w:ascii="Calibri" w:eastAsia="Times New Roman" w:hAnsi="Calibri" w:cs="Times New Roman"/>
                    <w:color w:val="000000"/>
                    <w:lang w:eastAsia="es-ES"/>
                  </w:rPr>
                  <w:t>3,191</w:t>
                </w:r>
              </w:p>
            </w:tc>
          </w:tr>
        </w:tbl>
        <w:p w:rsidR="00B50C23" w:rsidRPr="0084696C" w:rsidRDefault="00B50C23" w:rsidP="0084696C">
          <w:pPr>
            <w:pStyle w:val="Prrafodelista"/>
            <w:numPr>
              <w:ilvl w:val="0"/>
              <w:numId w:val="1"/>
            </w:numPr>
            <w:jc w:val="both"/>
            <w:rPr>
              <w:b/>
              <w:sz w:val="24"/>
              <w:szCs w:val="24"/>
            </w:rPr>
          </w:pPr>
          <w:r w:rsidRPr="0084696C">
            <w:rPr>
              <w:b/>
              <w:sz w:val="24"/>
              <w:szCs w:val="24"/>
            </w:rPr>
            <w:t>Movimientos de población según cambio de residencia:</w:t>
          </w:r>
        </w:p>
        <w:p w:rsidR="00EE4D4D" w:rsidRDefault="00EE4D4D" w:rsidP="00DA6CCE">
          <w:pPr>
            <w:pStyle w:val="Prrafodelista"/>
            <w:jc w:val="both"/>
            <w:rPr>
              <w:b/>
              <w:sz w:val="24"/>
              <w:szCs w:val="24"/>
            </w:rPr>
          </w:pPr>
        </w:p>
        <w:p w:rsidR="00980299" w:rsidRPr="00EA3943" w:rsidRDefault="00EA3943" w:rsidP="00EA3943">
          <w:pPr>
            <w:pStyle w:val="Prrafodelista"/>
            <w:ind w:left="284"/>
            <w:jc w:val="both"/>
            <w:rPr>
              <w:b/>
              <w:sz w:val="24"/>
              <w:szCs w:val="24"/>
            </w:rPr>
          </w:pPr>
          <w:r>
            <w:rPr>
              <w:noProof/>
              <w:lang w:eastAsia="es-ES"/>
            </w:rPr>
            <w:drawing>
              <wp:inline distT="0" distB="0" distL="0" distR="0" wp14:anchorId="3B613E71" wp14:editId="1CA539B0">
                <wp:extent cx="5222240" cy="2306320"/>
                <wp:effectExtent l="0" t="0" r="16510" b="1778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004B28" w:rsidP="00EA3943">
          <w:pPr>
            <w:pStyle w:val="Prrafodelista"/>
            <w:ind w:left="284" w:right="-427"/>
            <w:jc w:val="both"/>
            <w:rPr>
              <w:b/>
              <w:sz w:val="24"/>
              <w:szCs w:val="24"/>
            </w:rPr>
          </w:pPr>
          <w:r>
            <w:rPr>
              <w:b/>
              <w:noProof/>
              <w:sz w:val="24"/>
              <w:szCs w:val="24"/>
              <w:lang w:eastAsia="es-ES"/>
            </w:rPr>
            <w:drawing>
              <wp:inline distT="0" distB="0" distL="0" distR="0" wp14:anchorId="3F2E5506">
                <wp:extent cx="2682240" cy="1544320"/>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2240" cy="1544320"/>
                        </a:xfrm>
                        <a:prstGeom prst="rect">
                          <a:avLst/>
                        </a:prstGeom>
                        <a:noFill/>
                      </pic:spPr>
                    </pic:pic>
                  </a:graphicData>
                </a:graphic>
              </wp:inline>
            </w:drawing>
          </w:r>
          <w:r w:rsidR="005033F0">
            <w:rPr>
              <w:b/>
              <w:noProof/>
              <w:sz w:val="24"/>
              <w:szCs w:val="24"/>
              <w:lang w:eastAsia="es-ES"/>
            </w:rPr>
            <w:drawing>
              <wp:inline distT="0" distB="0" distL="0" distR="0" wp14:anchorId="57659332">
                <wp:extent cx="2682240" cy="1544034"/>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5021" cy="1545635"/>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EA3943" w:rsidRDefault="008222AC" w:rsidP="00EA3943">
          <w:pPr>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84696C" w:rsidRDefault="0084696C"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330ECF27" wp14:editId="5A2DDA11">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DD0AB3" w:rsidRPr="00974B32" w:rsidRDefault="00DD0AB3"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DD0AB3" w:rsidRPr="00974B32" w:rsidRDefault="00DD0AB3"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Pr="00EC5221" w:rsidRDefault="00EA3943" w:rsidP="00EA3943">
          <w:pPr>
            <w:pStyle w:val="Prrafodelista"/>
            <w:tabs>
              <w:tab w:val="left" w:pos="3456"/>
            </w:tabs>
            <w:ind w:left="709"/>
            <w:jc w:val="both"/>
            <w:rPr>
              <w:b/>
            </w:rPr>
          </w:pPr>
          <w:r>
            <w:rPr>
              <w:noProof/>
              <w:lang w:eastAsia="es-ES"/>
            </w:rPr>
            <w:drawing>
              <wp:inline distT="0" distB="0" distL="0" distR="0" wp14:anchorId="024A06DE" wp14:editId="530DD3B9">
                <wp:extent cx="4866640" cy="2682240"/>
                <wp:effectExtent l="0" t="0" r="10160" b="2286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3D6C" w:rsidRDefault="007A3D6C" w:rsidP="00DA6CCE">
          <w:pPr>
            <w:pStyle w:val="Prrafodelista"/>
            <w:numPr>
              <w:ilvl w:val="0"/>
              <w:numId w:val="1"/>
            </w:numPr>
            <w:tabs>
              <w:tab w:val="left" w:pos="3456"/>
            </w:tabs>
            <w:jc w:val="both"/>
            <w:rPr>
              <w:b/>
            </w:rPr>
          </w:pPr>
          <w:r>
            <w:rPr>
              <w:b/>
            </w:rPr>
            <w:t>Evolución de las actividades económicas durante el periodo 2011-2012:</w:t>
          </w:r>
        </w:p>
        <w:p w:rsidR="007A3D6C" w:rsidRDefault="00EA3943" w:rsidP="00DA6CCE">
          <w:pPr>
            <w:pStyle w:val="Prrafodelista"/>
            <w:tabs>
              <w:tab w:val="left" w:pos="3456"/>
            </w:tabs>
            <w:jc w:val="both"/>
            <w:rPr>
              <w:b/>
            </w:rPr>
          </w:pPr>
          <w:r>
            <w:rPr>
              <w:noProof/>
              <w:lang w:eastAsia="es-ES"/>
            </w:rPr>
            <w:drawing>
              <wp:inline distT="0" distB="0" distL="0" distR="0" wp14:anchorId="6800B015" wp14:editId="5F3C5844">
                <wp:extent cx="4866640" cy="3048000"/>
                <wp:effectExtent l="0" t="0" r="1016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22AC" w:rsidRDefault="008222AC" w:rsidP="00DA6CCE">
          <w:pPr>
            <w:pStyle w:val="Prrafodelista"/>
            <w:tabs>
              <w:tab w:val="left" w:pos="3456"/>
            </w:tabs>
            <w:jc w:val="both"/>
            <w:rPr>
              <w:b/>
            </w:rPr>
          </w:pPr>
        </w:p>
        <w:p w:rsidR="008222AC" w:rsidRDefault="008222AC" w:rsidP="00DA6CCE">
          <w:pPr>
            <w:pStyle w:val="Prrafodelista"/>
            <w:tabs>
              <w:tab w:val="left" w:pos="3456"/>
            </w:tabs>
            <w:jc w:val="both"/>
            <w:rPr>
              <w:b/>
            </w:rPr>
          </w:pPr>
        </w:p>
        <w:p w:rsidR="008222AC" w:rsidRDefault="008222AC" w:rsidP="00DA6CCE">
          <w:pPr>
            <w:pStyle w:val="Prrafodelista"/>
            <w:tabs>
              <w:tab w:val="left" w:pos="3456"/>
            </w:tabs>
            <w:jc w:val="both"/>
            <w:rPr>
              <w:b/>
            </w:rPr>
          </w:pPr>
        </w:p>
        <w:p w:rsidR="008222AC" w:rsidRDefault="008222AC" w:rsidP="00DA6CCE">
          <w:pPr>
            <w:pStyle w:val="Prrafodelista"/>
            <w:tabs>
              <w:tab w:val="left" w:pos="3456"/>
            </w:tabs>
            <w:jc w:val="both"/>
            <w:rPr>
              <w:b/>
            </w:rPr>
          </w:pPr>
        </w:p>
        <w:p w:rsidR="008222AC" w:rsidRDefault="008222AC" w:rsidP="00DA6CCE">
          <w:pPr>
            <w:pStyle w:val="Prrafodelista"/>
            <w:tabs>
              <w:tab w:val="left" w:pos="3456"/>
            </w:tabs>
            <w:jc w:val="both"/>
            <w:rPr>
              <w:b/>
            </w:rPr>
          </w:pPr>
        </w:p>
        <w:p w:rsidR="008222AC" w:rsidRDefault="008222AC" w:rsidP="00DA6CCE">
          <w:pPr>
            <w:pStyle w:val="Prrafodelista"/>
            <w:tabs>
              <w:tab w:val="left" w:pos="3456"/>
            </w:tabs>
            <w:jc w:val="both"/>
            <w:rPr>
              <w:b/>
            </w:rPr>
          </w:pPr>
        </w:p>
        <w:p w:rsidR="008222AC" w:rsidRDefault="008222AC" w:rsidP="00DA6CCE">
          <w:pPr>
            <w:pStyle w:val="Prrafodelista"/>
            <w:tabs>
              <w:tab w:val="left" w:pos="3456"/>
            </w:tabs>
            <w:jc w:val="both"/>
            <w:rPr>
              <w:b/>
            </w:rPr>
          </w:pPr>
        </w:p>
        <w:p w:rsidR="008222AC" w:rsidRDefault="008222AC" w:rsidP="00DA6CCE">
          <w:pPr>
            <w:pStyle w:val="Prrafodelista"/>
            <w:tabs>
              <w:tab w:val="left" w:pos="3456"/>
            </w:tabs>
            <w:jc w:val="both"/>
            <w:rPr>
              <w:b/>
            </w:rPr>
          </w:pPr>
        </w:p>
        <w:p w:rsidR="00A84D47" w:rsidRDefault="00A84D47"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lastRenderedPageBreak/>
            <w:t xml:space="preserve">Estructura de altas en la seguridad social por sexo y grupos de edad (Septiembre 2014) </w:t>
          </w:r>
        </w:p>
        <w:p w:rsidR="00A84D47" w:rsidRDefault="00723ADD" w:rsidP="00DA6CCE">
          <w:pPr>
            <w:pStyle w:val="Prrafodelista"/>
            <w:tabs>
              <w:tab w:val="left" w:pos="3456"/>
            </w:tabs>
            <w:ind w:left="0"/>
            <w:jc w:val="both"/>
            <w:rPr>
              <w:b/>
            </w:rPr>
          </w:pPr>
          <w:r>
            <w:rPr>
              <w:noProof/>
              <w:lang w:eastAsia="es-ES"/>
            </w:rPr>
            <w:drawing>
              <wp:inline distT="0" distB="0" distL="0" distR="0" wp14:anchorId="78771369" wp14:editId="4593AAC7">
                <wp:extent cx="5974080" cy="3241040"/>
                <wp:effectExtent l="0" t="0" r="26670" b="1651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723ADD" w:rsidP="00DA6CCE">
          <w:pPr>
            <w:pStyle w:val="Prrafodelista"/>
            <w:tabs>
              <w:tab w:val="left" w:pos="3456"/>
            </w:tabs>
            <w:ind w:left="0"/>
            <w:jc w:val="both"/>
            <w:rPr>
              <w:b/>
            </w:rPr>
          </w:pPr>
          <w:r>
            <w:rPr>
              <w:noProof/>
              <w:lang w:eastAsia="es-ES"/>
            </w:rPr>
            <w:drawing>
              <wp:inline distT="0" distB="0" distL="0" distR="0" wp14:anchorId="179E412B" wp14:editId="04FFB7CE">
                <wp:extent cx="6055360" cy="3078480"/>
                <wp:effectExtent l="0" t="0" r="21590" b="2667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723ADD" w:rsidRDefault="00723ADD"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EA3943" w:rsidP="00DA6CCE">
          <w:pPr>
            <w:pStyle w:val="Prrafodelista"/>
            <w:tabs>
              <w:tab w:val="left" w:pos="3456"/>
            </w:tabs>
            <w:ind w:left="0"/>
            <w:jc w:val="both"/>
            <w:rPr>
              <w:b/>
            </w:rPr>
          </w:pPr>
          <w:r>
            <w:rPr>
              <w:noProof/>
              <w:lang w:eastAsia="es-ES"/>
            </w:rPr>
            <w:drawing>
              <wp:inline distT="0" distB="0" distL="0" distR="0" wp14:anchorId="56E42B4B" wp14:editId="36403686">
                <wp:extent cx="5405120" cy="3088640"/>
                <wp:effectExtent l="0" t="0" r="24130" b="1651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5C2DBE" w:rsidRPr="00001DA8" w:rsidRDefault="005C2DBE" w:rsidP="005C2DBE">
          <w:pPr>
            <w:pStyle w:val="Prrafodelista"/>
            <w:jc w:val="both"/>
            <w:rPr>
              <w:b/>
            </w:rPr>
          </w:pPr>
        </w:p>
        <w:p w:rsidR="00B56B75" w:rsidRDefault="005C2DBE" w:rsidP="00DA6CCE">
          <w:pPr>
            <w:pStyle w:val="Prrafodelista"/>
            <w:tabs>
              <w:tab w:val="left" w:pos="3456"/>
            </w:tabs>
            <w:ind w:left="0"/>
            <w:jc w:val="both"/>
            <w:rPr>
              <w:b/>
            </w:rPr>
          </w:pPr>
          <w:r>
            <w:rPr>
              <w:noProof/>
              <w:lang w:eastAsia="es-ES"/>
            </w:rPr>
            <w:drawing>
              <wp:inline distT="0" distB="0" distL="0" distR="0" wp14:anchorId="7A651490" wp14:editId="22C24D0E">
                <wp:extent cx="5405120" cy="3302000"/>
                <wp:effectExtent l="0" t="0" r="24130" b="1270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56B75" w:rsidRDefault="00B56B75" w:rsidP="00DA6CCE">
          <w:pPr>
            <w:pStyle w:val="Prrafodelista"/>
            <w:tabs>
              <w:tab w:val="left" w:pos="3456"/>
            </w:tabs>
            <w:ind w:left="0"/>
            <w:jc w:val="both"/>
            <w:rPr>
              <w:b/>
            </w:rPr>
          </w:pPr>
        </w:p>
        <w:p w:rsidR="00A84D47" w:rsidRDefault="00A84D47" w:rsidP="00DA6CCE">
          <w:pPr>
            <w:pStyle w:val="Prrafodelista"/>
            <w:tabs>
              <w:tab w:val="left" w:pos="3456"/>
            </w:tabs>
            <w:jc w:val="both"/>
            <w:rPr>
              <w:b/>
            </w:rPr>
          </w:pPr>
        </w:p>
        <w:p w:rsidR="005F2FC9" w:rsidRDefault="005F2FC9" w:rsidP="00DA6CCE">
          <w:pPr>
            <w:pStyle w:val="Prrafodelista"/>
            <w:tabs>
              <w:tab w:val="left" w:pos="3456"/>
            </w:tabs>
            <w:jc w:val="both"/>
            <w:rPr>
              <w:b/>
            </w:rPr>
          </w:pPr>
        </w:p>
        <w:p w:rsidR="005F2FC9" w:rsidRDefault="005F2FC9" w:rsidP="00DA6CCE">
          <w:pPr>
            <w:pStyle w:val="Prrafodelista"/>
            <w:tabs>
              <w:tab w:val="left" w:pos="3456"/>
            </w:tabs>
            <w:jc w:val="both"/>
            <w:rPr>
              <w:b/>
            </w:rPr>
          </w:pPr>
        </w:p>
        <w:p w:rsidR="005F2FC9" w:rsidRDefault="005F2FC9" w:rsidP="00DA6CCE">
          <w:pPr>
            <w:pStyle w:val="Prrafodelista"/>
            <w:tabs>
              <w:tab w:val="left" w:pos="3456"/>
            </w:tabs>
            <w:jc w:val="both"/>
            <w:rPr>
              <w:b/>
            </w:rPr>
          </w:pPr>
        </w:p>
        <w:p w:rsidR="00746BD5" w:rsidRPr="00B33786" w:rsidRDefault="00746BD5" w:rsidP="00B33786">
          <w:pPr>
            <w:tabs>
              <w:tab w:val="left" w:pos="3456"/>
            </w:tabs>
            <w:jc w:val="both"/>
            <w:rPr>
              <w:b/>
            </w:rPr>
          </w:pPr>
        </w:p>
        <w:p w:rsidR="00D16764" w:rsidRPr="00AF7330" w:rsidRDefault="00746BD5" w:rsidP="00DA6CCE">
          <w:pPr>
            <w:pStyle w:val="Prrafodelista"/>
            <w:numPr>
              <w:ilvl w:val="0"/>
              <w:numId w:val="1"/>
            </w:numPr>
            <w:tabs>
              <w:tab w:val="left" w:pos="3456"/>
            </w:tabs>
            <w:jc w:val="both"/>
            <w:rPr>
              <w:b/>
            </w:rPr>
          </w:pPr>
          <w:r w:rsidRPr="009257EF">
            <w:rPr>
              <w:b/>
            </w:rPr>
            <w:lastRenderedPageBreak/>
            <w:t>Promedio de las fuentes tributarias que existen de cada tipo en el grupo ADE</w:t>
          </w:r>
          <w:r w:rsidR="0070406D">
            <w:rPr>
              <w:b/>
            </w:rPr>
            <w:t xml:space="preserve">CUARA </w:t>
          </w:r>
          <w:r w:rsidR="00AF7330" w:rsidRPr="00AF7330">
            <w:rPr>
              <w:b/>
            </w:rPr>
            <w:t>(2010).</w:t>
          </w:r>
        </w:p>
        <w:tbl>
          <w:tblPr>
            <w:tblStyle w:val="Sombreadoclaro-nfasis4"/>
            <w:tblW w:w="8368" w:type="dxa"/>
            <w:tblInd w:w="68" w:type="dxa"/>
            <w:tblLook w:val="04A0" w:firstRow="1" w:lastRow="0" w:firstColumn="1" w:lastColumn="0" w:noHBand="0" w:noVBand="1"/>
          </w:tblPr>
          <w:tblGrid>
            <w:gridCol w:w="1321"/>
            <w:gridCol w:w="1899"/>
            <w:gridCol w:w="2077"/>
            <w:gridCol w:w="2151"/>
            <w:gridCol w:w="920"/>
          </w:tblGrid>
          <w:tr w:rsidR="00B33786" w:rsidRPr="00295A89" w:rsidTr="00B33786">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21" w:type="dxa"/>
                <w:vMerge w:val="restart"/>
                <w:noWrap/>
                <w:hideMark/>
              </w:tcPr>
              <w:p w:rsidR="00B33786" w:rsidRPr="00295A89" w:rsidRDefault="00B33786" w:rsidP="00B33786">
                <w:pPr>
                  <w:jc w:val="center"/>
                  <w:rPr>
                    <w:rFonts w:ascii="Calibri" w:eastAsia="Times New Roman" w:hAnsi="Calibri" w:cs="Times New Roman"/>
                    <w:color w:val="000000"/>
                    <w:lang w:eastAsia="es-ES"/>
                  </w:rPr>
                </w:pPr>
                <w:r w:rsidRPr="00295A89">
                  <w:rPr>
                    <w:rFonts w:ascii="Calibri" w:eastAsia="Times New Roman" w:hAnsi="Calibri" w:cs="Times New Roman"/>
                    <w:color w:val="000000"/>
                    <w:lang w:eastAsia="es-ES"/>
                  </w:rPr>
                  <w:t>ADECUARA</w:t>
                </w:r>
              </w:p>
            </w:tc>
            <w:tc>
              <w:tcPr>
                <w:tcW w:w="1899" w:type="dxa"/>
                <w:noWrap/>
                <w:hideMark/>
              </w:tcPr>
              <w:p w:rsidR="00B33786" w:rsidRPr="00295A89" w:rsidRDefault="00B33786" w:rsidP="00B3378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95A89">
                  <w:rPr>
                    <w:rFonts w:ascii="Calibri" w:eastAsia="Times New Roman" w:hAnsi="Calibri" w:cs="Times New Roman"/>
                    <w:color w:val="000000"/>
                    <w:lang w:eastAsia="es-ES"/>
                  </w:rPr>
                  <w:t>Total percepciones salarios</w:t>
                </w:r>
              </w:p>
            </w:tc>
            <w:tc>
              <w:tcPr>
                <w:tcW w:w="2077" w:type="dxa"/>
                <w:noWrap/>
                <w:hideMark/>
              </w:tcPr>
              <w:p w:rsidR="00B33786" w:rsidRPr="00295A89" w:rsidRDefault="00B33786" w:rsidP="00B3378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95A89">
                  <w:rPr>
                    <w:rFonts w:ascii="Calibri" w:eastAsia="Times New Roman" w:hAnsi="Calibri" w:cs="Times New Roman"/>
                    <w:color w:val="000000"/>
                    <w:lang w:eastAsia="es-ES"/>
                  </w:rPr>
                  <w:t>Total Percepciones pensiones</w:t>
                </w:r>
              </w:p>
            </w:tc>
            <w:tc>
              <w:tcPr>
                <w:tcW w:w="2151" w:type="dxa"/>
                <w:noWrap/>
                <w:hideMark/>
              </w:tcPr>
              <w:p w:rsidR="00B33786" w:rsidRPr="00295A89" w:rsidRDefault="00B33786" w:rsidP="00B3378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295A89">
                  <w:rPr>
                    <w:rFonts w:ascii="Calibri" w:eastAsia="Times New Roman" w:hAnsi="Calibri" w:cs="Times New Roman"/>
                    <w:color w:val="000000"/>
                    <w:lang w:eastAsia="es-ES"/>
                  </w:rPr>
                  <w:t>Total Percepciones desempleo</w:t>
                </w:r>
              </w:p>
            </w:tc>
            <w:tc>
              <w:tcPr>
                <w:tcW w:w="920" w:type="dxa"/>
                <w:noWrap/>
                <w:hideMark/>
              </w:tcPr>
              <w:p w:rsidR="00B33786" w:rsidRPr="00295A89" w:rsidRDefault="00B33786" w:rsidP="00B3378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color w:val="000000"/>
                    <w:lang w:eastAsia="es-ES"/>
                  </w:rPr>
                  <w:t>Padró</w:t>
                </w:r>
                <w:r w:rsidRPr="00295A89">
                  <w:rPr>
                    <w:rFonts w:ascii="Calibri" w:eastAsia="Times New Roman" w:hAnsi="Calibri" w:cs="Times New Roman"/>
                    <w:color w:val="000000"/>
                    <w:lang w:eastAsia="es-ES"/>
                  </w:rPr>
                  <w:t>n total</w:t>
                </w:r>
              </w:p>
            </w:tc>
          </w:tr>
          <w:tr w:rsidR="00B33786" w:rsidRPr="00295A89" w:rsidTr="00B3378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321" w:type="dxa"/>
                <w:vMerge/>
                <w:noWrap/>
                <w:hideMark/>
              </w:tcPr>
              <w:p w:rsidR="00B33786" w:rsidRPr="00295A89" w:rsidRDefault="00B33786" w:rsidP="00B33786">
                <w:pPr>
                  <w:jc w:val="center"/>
                  <w:rPr>
                    <w:rFonts w:ascii="Calibri" w:eastAsia="Times New Roman" w:hAnsi="Calibri" w:cs="Times New Roman"/>
                    <w:color w:val="000000"/>
                    <w:lang w:eastAsia="es-ES"/>
                  </w:rPr>
                </w:pPr>
              </w:p>
            </w:tc>
            <w:tc>
              <w:tcPr>
                <w:tcW w:w="1899" w:type="dxa"/>
                <w:noWrap/>
                <w:hideMark/>
              </w:tcPr>
              <w:p w:rsidR="00B33786" w:rsidRPr="00295A89" w:rsidRDefault="00B33786" w:rsidP="00B3378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95A89">
                  <w:rPr>
                    <w:rFonts w:ascii="Calibri" w:eastAsia="Times New Roman" w:hAnsi="Calibri" w:cs="Times New Roman"/>
                    <w:b/>
                    <w:bCs/>
                    <w:color w:val="000000"/>
                    <w:lang w:eastAsia="es-ES"/>
                  </w:rPr>
                  <w:t>18136</w:t>
                </w:r>
              </w:p>
            </w:tc>
            <w:tc>
              <w:tcPr>
                <w:tcW w:w="2077" w:type="dxa"/>
                <w:noWrap/>
                <w:hideMark/>
              </w:tcPr>
              <w:p w:rsidR="00B33786" w:rsidRPr="00295A89" w:rsidRDefault="00B33786" w:rsidP="00B3378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95A89">
                  <w:rPr>
                    <w:rFonts w:ascii="Calibri" w:eastAsia="Times New Roman" w:hAnsi="Calibri" w:cs="Times New Roman"/>
                    <w:b/>
                    <w:bCs/>
                    <w:color w:val="000000"/>
                    <w:lang w:eastAsia="es-ES"/>
                  </w:rPr>
                  <w:t>8557</w:t>
                </w:r>
              </w:p>
            </w:tc>
            <w:tc>
              <w:tcPr>
                <w:tcW w:w="2151" w:type="dxa"/>
                <w:noWrap/>
                <w:hideMark/>
              </w:tcPr>
              <w:p w:rsidR="00B33786" w:rsidRPr="00295A89" w:rsidRDefault="00B33786" w:rsidP="00B3378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95A89">
                  <w:rPr>
                    <w:rFonts w:ascii="Calibri" w:eastAsia="Times New Roman" w:hAnsi="Calibri" w:cs="Times New Roman"/>
                    <w:b/>
                    <w:bCs/>
                    <w:color w:val="000000"/>
                    <w:lang w:eastAsia="es-ES"/>
                  </w:rPr>
                  <w:t>3667</w:t>
                </w:r>
              </w:p>
            </w:tc>
            <w:tc>
              <w:tcPr>
                <w:tcW w:w="920" w:type="dxa"/>
                <w:noWrap/>
                <w:hideMark/>
              </w:tcPr>
              <w:p w:rsidR="00B33786" w:rsidRPr="00295A89" w:rsidRDefault="00B33786" w:rsidP="00B3378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295A89">
                  <w:rPr>
                    <w:rFonts w:ascii="Calibri" w:eastAsia="Times New Roman" w:hAnsi="Calibri" w:cs="Times New Roman"/>
                    <w:b/>
                    <w:bCs/>
                    <w:color w:val="000000"/>
                    <w:lang w:eastAsia="es-ES"/>
                  </w:rPr>
                  <w:t>32868</w:t>
                </w:r>
              </w:p>
            </w:tc>
          </w:tr>
        </w:tbl>
        <w:p w:rsidR="00746BD5" w:rsidRDefault="00746BD5" w:rsidP="00B33786">
          <w:pPr>
            <w:pStyle w:val="Prrafodelista"/>
            <w:tabs>
              <w:tab w:val="left" w:pos="3456"/>
            </w:tabs>
            <w:jc w:val="center"/>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3B0D5E" w:rsidRDefault="003B0D5E" w:rsidP="00DA6CCE">
          <w:pPr>
            <w:pStyle w:val="Prrafodelista"/>
            <w:tabs>
              <w:tab w:val="left" w:pos="3456"/>
            </w:tabs>
            <w:jc w:val="both"/>
            <w:rPr>
              <w:b/>
            </w:rPr>
          </w:pPr>
        </w:p>
        <w:p w:rsidR="003B0D5E" w:rsidRDefault="003B0D5E" w:rsidP="00DA6CCE">
          <w:pPr>
            <w:pStyle w:val="Prrafodelista"/>
            <w:tabs>
              <w:tab w:val="left" w:pos="3456"/>
            </w:tabs>
            <w:jc w:val="both"/>
            <w:rPr>
              <w:b/>
            </w:rPr>
          </w:pPr>
        </w:p>
        <w:p w:rsidR="003B0D5E" w:rsidRDefault="003B0D5E"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923A16" w:rsidRDefault="00923A16" w:rsidP="00DA6CCE">
          <w:pPr>
            <w:pStyle w:val="Prrafodelista"/>
            <w:tabs>
              <w:tab w:val="left" w:pos="3456"/>
            </w:tabs>
            <w:ind w:left="284"/>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siendo e</w:t>
          </w:r>
          <w:r w:rsidR="0065045C">
            <w:t>l Grupo de Acción Local ADECUARA</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w:t>
          </w:r>
          <w:r w:rsidR="0065045C">
            <w:t xml:space="preserve">se trata de una agrupación de dos comarcas como son </w:t>
          </w:r>
          <w:r w:rsidR="00AE7331">
            <w:t xml:space="preserve">la </w:t>
          </w:r>
          <w:proofErr w:type="spellStart"/>
          <w:r w:rsidR="00AE7331">
            <w:t>Jacetania</w:t>
          </w:r>
          <w:proofErr w:type="spellEnd"/>
          <w:r w:rsidR="00AE7331">
            <w:t xml:space="preserve"> y el Alto Gállego que</w:t>
          </w:r>
          <w:r w:rsidR="0065045C">
            <w:t xml:space="preserve"> reúne a un total de 28 municipios.</w:t>
          </w:r>
        </w:p>
        <w:p w:rsidR="00D139A2" w:rsidRPr="003D4E91" w:rsidRDefault="00D139A2" w:rsidP="00DA6CCE">
          <w:pPr>
            <w:pStyle w:val="Prrafodelista"/>
            <w:tabs>
              <w:tab w:val="left" w:pos="3456"/>
            </w:tabs>
            <w:ind w:left="284"/>
            <w:jc w:val="both"/>
          </w:pPr>
        </w:p>
        <w:p w:rsidR="003D4E91" w:rsidRPr="00625167" w:rsidRDefault="00923A16" w:rsidP="00452FBF">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2pt;height:480pt">
                <v:imagedata r:id="rId36" o:title="LOCALIZACIÓN"/>
              </v:shape>
            </w:pict>
          </w:r>
        </w:p>
        <w:p w:rsidR="00AC657B" w:rsidRDefault="00AC657B" w:rsidP="008D4C33">
          <w:pPr>
            <w:ind w:firstLine="708"/>
            <w:jc w:val="both"/>
          </w:pPr>
        </w:p>
        <w:p w:rsidR="008D4C33" w:rsidRDefault="0065045C" w:rsidP="00C756CD">
          <w:pPr>
            <w:ind w:firstLine="708"/>
            <w:jc w:val="both"/>
          </w:pPr>
          <w:r>
            <w:lastRenderedPageBreak/>
            <w:t>El gr</w:t>
          </w:r>
          <w:r w:rsidR="00F32049">
            <w:t xml:space="preserve">upo de acción local ADECUARA se compone en cuanto a relieve por dos áreas o zonas, una de mayor altas latitudes muy cercana a la frontera francesa y, otra más cercana a la provincia de Huesca  caracterizada por la gran cantidad de ríos nacientes en la parte alta y que discurren por ella pudiendo generar algunas inundaciones durante los meses de deshielo debido a que, el desnivel que atraviesan da una mayor fuerza y potencia a las aguas que componen el caudal de dichos ríos. Precisamente se tiene consciencia de la gran cantidad de agua que aporta el caudal de estos ríos ya que en esta área se localiza el conocido embalse de yesa </w:t>
          </w:r>
          <w:r w:rsidR="00C756CD">
            <w:t xml:space="preserve">inagurado en 1960 </w:t>
          </w:r>
          <w:r w:rsidR="00F32049">
            <w:t xml:space="preserve">con una capacidad de almacenamiento de </w:t>
          </w:r>
          <w:r w:rsidR="00F32049">
            <w:rPr>
              <w:rFonts w:ascii="Arial" w:hAnsi="Arial" w:cs="Arial"/>
              <w:color w:val="252525"/>
              <w:sz w:val="21"/>
              <w:szCs w:val="21"/>
              <w:shd w:val="clear" w:color="auto" w:fill="FFFFFF"/>
            </w:rPr>
            <w:t>446,86</w:t>
          </w:r>
          <w:r w:rsidR="00F32049">
            <w:rPr>
              <w:rStyle w:val="apple-converted-space"/>
              <w:rFonts w:ascii="Arial" w:hAnsi="Arial" w:cs="Arial"/>
              <w:color w:val="252525"/>
              <w:sz w:val="21"/>
              <w:szCs w:val="21"/>
              <w:shd w:val="clear" w:color="auto" w:fill="FFFFFF"/>
            </w:rPr>
            <w:t> </w:t>
          </w:r>
          <w:hyperlink r:id="rId37" w:tooltip="Hm³" w:history="1">
            <w:r w:rsidR="00F32049" w:rsidRPr="00F32049">
              <w:rPr>
                <w:rStyle w:val="Hipervnculo"/>
                <w:rFonts w:ascii="Arial" w:hAnsi="Arial" w:cs="Arial"/>
                <w:color w:val="auto"/>
                <w:sz w:val="21"/>
                <w:szCs w:val="21"/>
                <w:u w:val="none"/>
                <w:shd w:val="clear" w:color="auto" w:fill="FFFFFF"/>
              </w:rPr>
              <w:t>hm³</w:t>
            </w:r>
          </w:hyperlink>
          <w:r w:rsidR="00C756CD">
            <w:t>.</w:t>
          </w:r>
        </w:p>
        <w:p w:rsidR="003D4E91" w:rsidRDefault="00923A16" w:rsidP="00923A16">
          <w:pPr>
            <w:ind w:left="426" w:firstLine="283"/>
            <w:jc w:val="center"/>
            <w:rPr>
              <w:b/>
            </w:rPr>
          </w:pPr>
          <w:bookmarkStart w:id="0" w:name="_GoBack"/>
          <w:r>
            <w:rPr>
              <w:b/>
            </w:rPr>
            <w:pict>
              <v:shape id="_x0000_i1026" type="#_x0000_t75" style="width:394.4pt;height:557.6pt">
                <v:imagedata r:id="rId38" o:title="medio fisico"/>
              </v:shape>
            </w:pict>
          </w:r>
          <w:bookmarkEnd w:id="0"/>
        </w:p>
        <w:p w:rsidR="00FC644D" w:rsidRDefault="00FC644D" w:rsidP="00DA6CCE">
          <w:pPr>
            <w:jc w:val="both"/>
            <w:rPr>
              <w:b/>
            </w:rPr>
          </w:pPr>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65045C">
            <w:t>ADECUARA</w:t>
          </w:r>
          <w:r w:rsidR="00D139A2">
            <w:t xml:space="preserve"> </w:t>
          </w:r>
          <w:r w:rsidR="0065045C">
            <w:t>la mayor parte de los municipios muestran claras evidencias de masculinización en su población a excepción de algunos donde la tasa de feminidad supera a la de masculinidad. Es el caso de Fago, Jaca y Salvatierra de Esca.</w:t>
          </w:r>
        </w:p>
        <w:p w:rsidR="003D4E91" w:rsidRDefault="00923A16" w:rsidP="00452FBF">
          <w:pPr>
            <w:jc w:val="center"/>
            <w:rPr>
              <w:b/>
            </w:rPr>
          </w:pPr>
          <w:r>
            <w:rPr>
              <w:b/>
            </w:rPr>
            <w:pict>
              <v:shape id="_x0000_i1027" type="#_x0000_t75" style="width:424.8pt;height:600.8pt">
                <v:imagedata r:id="rId39" o:title="mascufem_densi"/>
              </v:shape>
            </w:pict>
          </w:r>
        </w:p>
        <w:p w:rsidR="00592215" w:rsidRDefault="00592215" w:rsidP="00DA6CCE">
          <w:pPr>
            <w:jc w:val="both"/>
            <w:rPr>
              <w:b/>
            </w:rPr>
          </w:pPr>
        </w:p>
        <w:p w:rsidR="00592215" w:rsidRPr="00592215" w:rsidRDefault="00592215" w:rsidP="00DA6CCE">
          <w:pPr>
            <w:jc w:val="both"/>
          </w:pPr>
          <w:r>
            <w:rPr>
              <w:b/>
            </w:rPr>
            <w:lastRenderedPageBreak/>
            <w:tab/>
          </w:r>
          <w:r>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923A16" w:rsidP="00452FBF">
          <w:pPr>
            <w:jc w:val="center"/>
            <w:rPr>
              <w:b/>
            </w:rPr>
          </w:pPr>
          <w:r>
            <w:rPr>
              <w:b/>
              <w:noProof/>
              <w:sz w:val="24"/>
              <w:szCs w:val="24"/>
              <w:lang w:eastAsia="es-ES"/>
            </w:rPr>
            <w:pict>
              <v:shape id="_x0000_i1028" type="#_x0000_t75" style="width:424.8pt;height:600.8pt">
                <v:imagedata r:id="rId40" o:title="ENVEJARAGON_GAL"/>
              </v:shape>
            </w:pict>
          </w:r>
        </w:p>
        <w:p w:rsidR="005C032F" w:rsidRDefault="00592215" w:rsidP="00DA6CCE">
          <w:pPr>
            <w:jc w:val="both"/>
          </w:pPr>
          <w:r>
            <w:rPr>
              <w:b/>
            </w:rPr>
            <w:lastRenderedPageBreak/>
            <w:tab/>
          </w:r>
          <w:r>
            <w:t xml:space="preserve">Los municipios </w:t>
          </w:r>
          <w:r w:rsidRPr="00592215">
            <w:t xml:space="preserve">que </w:t>
          </w:r>
          <w:r>
            <w:t>se representan en gris son aquellos de los que no hemos podido disponer de datos. E</w:t>
          </w:r>
          <w:r w:rsidR="00AB3ED5">
            <w:t>n amarillo</w:t>
          </w:r>
          <w:r>
            <w:t xml:space="preserve"> vemos los valores que se asemejan a la media de Aragón y, en el último caso, los valores que se representan en 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5C032F">
            <w:t>.</w:t>
          </w:r>
          <w:r w:rsidR="0065045C">
            <w:t xml:space="preserve"> Milanos, Sigües y Caldearenas son los municipios que mayores tasas de envejecimiento presentan.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p>
        <w:p w:rsidR="005C032F" w:rsidRDefault="00923A16" w:rsidP="00452FBF">
          <w:pPr>
            <w:jc w:val="center"/>
          </w:pPr>
          <w:r>
            <w:pict>
              <v:shape id="_x0000_i1029" type="#_x0000_t75" style="width:380pt;height:537.6pt">
                <v:imagedata r:id="rId41" o:title="tasaenvej_tasaparo"/>
              </v:shape>
            </w:pict>
          </w:r>
        </w:p>
        <w:p w:rsidR="00592215" w:rsidRDefault="005C032F" w:rsidP="00DA6CCE">
          <w:pPr>
            <w:jc w:val="both"/>
          </w:pPr>
          <w:r>
            <w:lastRenderedPageBreak/>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923A16" w:rsidP="00452FBF">
          <w:pPr>
            <w:jc w:val="center"/>
          </w:pPr>
          <w:r>
            <w:pict>
              <v:shape id="_x0000_i1030" type="#_x0000_t75" style="width:386.4pt;height:546.4pt">
                <v:imagedata r:id="rId42" o:title="ENVEJ_MASCU"/>
              </v:shape>
            </w:pict>
          </w:r>
        </w:p>
        <w:p w:rsidR="005C032F" w:rsidRDefault="005C032F" w:rsidP="00DA6CCE">
          <w:pPr>
            <w:jc w:val="both"/>
          </w:pPr>
          <w:r>
            <w:lastRenderedPageBreak/>
            <w:tab/>
            <w:t xml:space="preserve">Al representar los valores de las variables en el mapa vemos como </w:t>
          </w:r>
          <w:r w:rsidR="00DD0AB3">
            <w:t>las áreas o municipios donde la tasa de envejecimiento es mayor presentan un índice de masculinidad también  mayor por lo que, podemos afirmar el hecho de que en el caso del grupo de acción local ADECUARA  la variable envejecimiento tiene una estrecha relación con la masculinización de la población.</w:t>
          </w:r>
        </w:p>
        <w:p w:rsidR="005C032F" w:rsidRDefault="00A870E9" w:rsidP="00DA6CCE">
          <w:pPr>
            <w:ind w:firstLine="708"/>
            <w:jc w:val="both"/>
          </w:pPr>
          <w:r>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923A16" w:rsidP="00DD0AB3">
          <w:pPr>
            <w:ind w:firstLine="426"/>
            <w:jc w:val="center"/>
          </w:pPr>
          <w:r>
            <w:pict>
              <v:shape id="_x0000_i1031" type="#_x0000_t75" style="width:343.2pt;height:485.6pt">
                <v:imagedata r:id="rId43" o:title="actveconom_densidad"/>
              </v:shape>
            </w:pict>
          </w:r>
        </w:p>
        <w:p w:rsidR="00DA6CCE" w:rsidRDefault="00DA6CCE" w:rsidP="0089418C">
          <w:pPr>
            <w:ind w:firstLine="708"/>
            <w:jc w:val="both"/>
          </w:pPr>
          <w:r>
            <w:t>En este primer mapa vemos una clara diferenciación en función de las diferentes actividades económicas desarrolladas en los municipios que se engloban en el grupo ADEC</w:t>
          </w:r>
          <w:r w:rsidR="007A2996">
            <w:t>UARA</w:t>
          </w:r>
          <w:r>
            <w:t xml:space="preserve"> en función de su densidad. Según lo que podemos apreciar aquellos municipios </w:t>
          </w:r>
          <w:r>
            <w:lastRenderedPageBreak/>
            <w:t xml:space="preserve">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923A16" w:rsidP="00DA6CCE">
          <w:pPr>
            <w:ind w:firstLine="284"/>
            <w:jc w:val="center"/>
          </w:pPr>
          <w:r>
            <w:pict>
              <v:shape id="_x0000_i1032" type="#_x0000_t75" style="width:424.8pt;height:573.6pt">
                <v:imagedata r:id="rId44" o:title="densidad_tasaparo"/>
              </v:shape>
            </w:pict>
          </w:r>
        </w:p>
        <w:p w:rsidR="00DD0AB3" w:rsidRDefault="00DD0AB3" w:rsidP="00DA6CCE">
          <w:pPr>
            <w:ind w:firstLine="284"/>
            <w:jc w:val="center"/>
          </w:pPr>
        </w:p>
        <w:p w:rsidR="00DA6CCE" w:rsidRPr="00592215" w:rsidRDefault="00B07BC3" w:rsidP="0089418C">
          <w:pPr>
            <w:ind w:firstLine="284"/>
            <w:jc w:val="both"/>
          </w:pPr>
          <w:r w:rsidRPr="00B07BC3">
            <w:lastRenderedPageBreak/>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r w:rsidR="00DD0AB3">
            <w:t>Jaca (44,28%) y Sabiñanigo (</w:t>
          </w:r>
          <w:r w:rsidR="003C7A17">
            <w:t>39,77%</w:t>
          </w:r>
          <w:r w:rsidR="00DD0AB3">
            <w:t xml:space="preserve">) </w:t>
          </w:r>
          <w:r w:rsidR="00EB7E4E">
            <w:t>son los municipios que muestran las mayores tasas d</w:t>
          </w:r>
          <w:r w:rsidR="003C7A17">
            <w:t>e paro de todo el grupo ADECUARA</w:t>
          </w:r>
          <w:r w:rsidR="00EB7E4E">
            <w:t xml:space="preserve">. </w:t>
          </w:r>
        </w:p>
        <w:p w:rsidR="005047FE" w:rsidRDefault="00DA6CCE" w:rsidP="00DA6CCE">
          <w:pPr>
            <w:ind w:firstLine="284"/>
            <w:jc w:val="both"/>
          </w:pPr>
          <w:r>
            <w:t>Pero, más allá de lo que sería conocer la tasa de paro total sobre la densidad de población en el grupo ADEC</w:t>
          </w:r>
          <w:r w:rsidR="003C7A17">
            <w:t>UARA</w:t>
          </w:r>
          <w:r>
            <w:t xml:space="preserve"> 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923A16" w:rsidP="00452FBF">
      <w:pPr>
        <w:jc w:val="center"/>
      </w:pPr>
      <w:r>
        <w:pict>
          <v:shape id="_x0000_i1033" type="#_x0000_t75" style="width:345.6pt;height:489.6pt">
            <v:imagedata r:id="rId45" o:title="densidad_tasaparohym"/>
          </v:shape>
        </w:pict>
      </w:r>
    </w:p>
    <w:p w:rsidR="003C7A17" w:rsidRDefault="00452FBF" w:rsidP="003C7A17">
      <w:pPr>
        <w:jc w:val="both"/>
      </w:pPr>
      <w:r>
        <w:lastRenderedPageBreak/>
        <w:tab/>
        <w:t xml:space="preserve">En este caso vemos como al establecer la diferenciación en el paro de hombres y mujeres encontramos datos más significativos pues el total de paro solo nos da datos absolutos mientras que en este caso lo que observamos es que, prácticamente el total de municipios muestra un total de paro elevado </w:t>
      </w:r>
      <w:r w:rsidR="004722D5">
        <w:t xml:space="preserve">mayor </w:t>
      </w:r>
      <w:r w:rsidR="003C7A17">
        <w:t>mujeres que en hombres</w:t>
      </w:r>
      <w:r w:rsidR="004722D5">
        <w:t xml:space="preserve">. A excepción de </w:t>
      </w:r>
      <w:r w:rsidR="003C7A17">
        <w:t xml:space="preserve">Ansó, Biescas, Borau, Panticosa, Sabiñanigo, Santa Cilia, Santa Cruz de Serós, Valle de Hecho, Villanúa, Yebra de basa y Yésero. </w:t>
      </w:r>
    </w:p>
    <w:p w:rsidR="00A954F5" w:rsidRDefault="00A954F5" w:rsidP="003C7A17">
      <w:pPr>
        <w:ind w:firstLine="708"/>
        <w:jc w:val="both"/>
      </w:pPr>
      <w:r>
        <w:t xml:space="preserve">En cuanto a la tasa de feminidad respecto a la tasa de paro en mujeres, podemos ver como en el mapa apenas se aprecian áreas con tasas de paro elevadas en mujeres a excepción del caso de  </w:t>
      </w:r>
      <w:r w:rsidR="003C7A17">
        <w:t>Sabiñánigo y Jaca.</w:t>
      </w:r>
    </w:p>
    <w:p w:rsidR="00A954F5" w:rsidRDefault="00923A16" w:rsidP="003C7A17">
      <w:pPr>
        <w:jc w:val="center"/>
      </w:pPr>
      <w:r>
        <w:pict>
          <v:shape id="_x0000_i1034" type="#_x0000_t75" style="width:380pt;height:537.6pt">
            <v:imagedata r:id="rId46" o:title="tasafem_tasaparomuj"/>
          </v:shape>
        </w:pict>
      </w:r>
    </w:p>
    <w:p w:rsidR="003C7A17"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 las áreas d</w:t>
      </w:r>
      <w:r w:rsidR="003C7A17">
        <w:t>onde la tasa de masculinidad es baja o muy baja son las áreas donde la cantidad de parados hombres es mayor. Es el caso de Jaca, Sabiñanigo y Sallent de Gállego.</w:t>
      </w:r>
    </w:p>
    <w:p w:rsidR="00A954F5" w:rsidRDefault="00923A16" w:rsidP="003C7A17">
      <w:pPr>
        <w:ind w:firstLine="284"/>
        <w:jc w:val="both"/>
      </w:pPr>
      <w:r>
        <w:pict>
          <v:shape id="_x0000_i1035" type="#_x0000_t75" style="width:424.8pt;height:600.8pt">
            <v:imagedata r:id="rId47" o:title="tasamascu_tasaparohom"/>
          </v:shape>
        </w:pict>
      </w:r>
    </w:p>
    <w:p w:rsidR="0010130B" w:rsidRDefault="0010130B" w:rsidP="003C7A17"/>
    <w:p w:rsidR="0010130B" w:rsidRDefault="0010130B" w:rsidP="0010130B">
      <w:pPr>
        <w:ind w:firstLine="708"/>
        <w:jc w:val="center"/>
      </w:pPr>
    </w:p>
    <w:p w:rsidR="006E4407" w:rsidRDefault="0010130B" w:rsidP="00A744E6">
      <w:pPr>
        <w:ind w:firstLine="993"/>
        <w:jc w:val="both"/>
      </w:pPr>
      <w:r>
        <w:t>Otra última relación que nos resultó interesante a la hora de realizar el análisis sobre la tasa de paro en el grupo ADEC</w:t>
      </w:r>
      <w:r w:rsidR="00E03919">
        <w:t>UARA</w:t>
      </w:r>
      <w:r>
        <w:t xml:space="preserve"> fue la del paro total y la tasa de masculinidad</w:t>
      </w:r>
      <w:r w:rsidRPr="0010130B">
        <w:t xml:space="preserve"> </w:t>
      </w:r>
      <w:r w:rsidR="00A744E6">
        <w:t xml:space="preserve">de cada </w:t>
      </w:r>
      <w:r>
        <w:t xml:space="preserve">municipio. </w:t>
      </w:r>
    </w:p>
    <w:p w:rsidR="0010130B" w:rsidRDefault="00923A16" w:rsidP="003C7A17">
      <w:pPr>
        <w:ind w:firstLine="284"/>
        <w:jc w:val="both"/>
      </w:pPr>
      <w:r>
        <w:pict>
          <v:shape id="_x0000_i1036" type="#_x0000_t75" style="width:404pt;height:571.2pt">
            <v:imagedata r:id="rId48" o:title="tasamasc_tasa paro"/>
          </v:shape>
        </w:pict>
      </w:r>
    </w:p>
    <w:p w:rsidR="00F00975" w:rsidRDefault="0010130B" w:rsidP="003C7A17">
      <w:pPr>
        <w:ind w:firstLine="708"/>
        <w:jc w:val="both"/>
      </w:pPr>
      <w:r>
        <w:t xml:space="preserve">Al relacionar estas variables observamos como las áreas con una tasa de masculinidad muy baja, baja o incluso media presentan tasas de paro mucho </w:t>
      </w:r>
      <w:r w:rsidR="00052E1F">
        <w:t>mayores</w:t>
      </w:r>
      <w:r>
        <w:t xml:space="preserve"> que las áreas donde la tasa de masculinidad es mayor.</w:t>
      </w:r>
    </w:p>
    <w:p w:rsidR="00F00975" w:rsidRDefault="00F00975" w:rsidP="00F00975">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2C3354" w:rsidRDefault="00923A16" w:rsidP="004E34E8">
      <w:pPr>
        <w:ind w:firstLine="426"/>
        <w:jc w:val="center"/>
      </w:pPr>
      <w:r>
        <w:pict>
          <v:shape id="_x0000_i1037" type="#_x0000_t75" style="width:408.8pt;height:578.4pt">
            <v:imagedata r:id="rId49" o:title="difaltassegsocial_hommujsept2014"/>
          </v:shape>
        </w:pict>
      </w:r>
    </w:p>
    <w:p w:rsidR="00677B14" w:rsidRDefault="004E34E8" w:rsidP="006F2D85">
      <w:pPr>
        <w:jc w:val="both"/>
      </w:pPr>
      <w:r>
        <w:tab/>
        <w:t xml:space="preserve">Analizando el mapa vemos como </w:t>
      </w:r>
      <w:r w:rsidR="0069681C">
        <w:t>todos los municipios muestran una clara mayoría de altas a la seguridad social durante el periodo de septiembre de 2014 en hombres respecto a mujeres.</w:t>
      </w:r>
    </w:p>
    <w:p w:rsidR="007C3A15" w:rsidRDefault="007C3A15" w:rsidP="007C3A15">
      <w:pPr>
        <w:jc w:val="center"/>
      </w:pPr>
    </w:p>
    <w:sectPr w:rsidR="007C3A15" w:rsidSect="00EC5221">
      <w:headerReference w:type="default" r:id="rId50"/>
      <w:footerReference w:type="default" r:id="rId51"/>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23B" w:rsidRDefault="00B9623B" w:rsidP="005047FE">
      <w:pPr>
        <w:spacing w:after="0" w:line="240" w:lineRule="auto"/>
      </w:pPr>
      <w:r>
        <w:separator/>
      </w:r>
    </w:p>
  </w:endnote>
  <w:endnote w:type="continuationSeparator" w:id="0">
    <w:p w:rsidR="00B9623B" w:rsidRDefault="00B9623B"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DD0AB3" w:rsidRDefault="00DD0AB3">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DD0AB3" w:rsidRDefault="00DD0AB3">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923A16" w:rsidRPr="00923A16">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8"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2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2"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DD0AB3" w:rsidRDefault="00DD0AB3">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923A16" w:rsidRPr="00923A16">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23B" w:rsidRDefault="00B9623B" w:rsidP="005047FE">
      <w:pPr>
        <w:spacing w:after="0" w:line="240" w:lineRule="auto"/>
      </w:pPr>
      <w:r>
        <w:separator/>
      </w:r>
    </w:p>
  </w:footnote>
  <w:footnote w:type="continuationSeparator" w:id="0">
    <w:p w:rsidR="00B9623B" w:rsidRDefault="00B9623B"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DD0AB3">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DD0AB3" w:rsidRDefault="00DD0AB3" w:rsidP="00CD1578">
              <w:pPr>
                <w:pStyle w:val="Encabezado"/>
                <w:jc w:val="center"/>
                <w:rPr>
                  <w:caps/>
                  <w:color w:val="FFFFFF" w:themeColor="background1"/>
                </w:rPr>
              </w:pPr>
              <w:r>
                <w:rPr>
                  <w:caps/>
                  <w:color w:val="FFFFFF" w:themeColor="background1"/>
                </w:rPr>
                <w:t>Caracterización territorial del Grupo de Acción Local (ADECUARA)</w:t>
              </w:r>
            </w:p>
          </w:tc>
        </w:sdtContent>
      </w:sdt>
      <w:tc>
        <w:tcPr>
          <w:tcW w:w="750" w:type="pct"/>
          <w:shd w:val="clear" w:color="auto" w:fill="000000" w:themeFill="text1"/>
          <w:vAlign w:val="center"/>
        </w:tcPr>
        <w:p w:rsidR="00DD0AB3" w:rsidRDefault="00DD0AB3" w:rsidP="005047FE">
          <w:pPr>
            <w:pStyle w:val="Encabezado"/>
            <w:jc w:val="right"/>
            <w:rPr>
              <w:color w:val="FFFFFF" w:themeColor="background1"/>
            </w:rPr>
          </w:pPr>
        </w:p>
      </w:tc>
    </w:tr>
  </w:tbl>
  <w:p w:rsidR="00DD0AB3" w:rsidRDefault="00DD0A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C8CAA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B28"/>
    <w:rsid w:val="0000722B"/>
    <w:rsid w:val="000507AF"/>
    <w:rsid w:val="00052E1F"/>
    <w:rsid w:val="000744D6"/>
    <w:rsid w:val="000B4043"/>
    <w:rsid w:val="000E24E8"/>
    <w:rsid w:val="0010130B"/>
    <w:rsid w:val="00172F65"/>
    <w:rsid w:val="00183475"/>
    <w:rsid w:val="00187242"/>
    <w:rsid w:val="00195345"/>
    <w:rsid w:val="00226733"/>
    <w:rsid w:val="00247F9F"/>
    <w:rsid w:val="00295A89"/>
    <w:rsid w:val="00297A15"/>
    <w:rsid w:val="002C3354"/>
    <w:rsid w:val="002E0141"/>
    <w:rsid w:val="003431C8"/>
    <w:rsid w:val="003729DC"/>
    <w:rsid w:val="003B0D5E"/>
    <w:rsid w:val="003B3FA0"/>
    <w:rsid w:val="003C7A17"/>
    <w:rsid w:val="003D4E91"/>
    <w:rsid w:val="004015F0"/>
    <w:rsid w:val="004105C6"/>
    <w:rsid w:val="00424122"/>
    <w:rsid w:val="00425194"/>
    <w:rsid w:val="00452FBF"/>
    <w:rsid w:val="004551FC"/>
    <w:rsid w:val="00460D1F"/>
    <w:rsid w:val="004722D5"/>
    <w:rsid w:val="00487E8C"/>
    <w:rsid w:val="004E34E8"/>
    <w:rsid w:val="005033F0"/>
    <w:rsid w:val="005047FE"/>
    <w:rsid w:val="005170AC"/>
    <w:rsid w:val="00533C22"/>
    <w:rsid w:val="00592215"/>
    <w:rsid w:val="005C032F"/>
    <w:rsid w:val="005C2DBE"/>
    <w:rsid w:val="005E1E26"/>
    <w:rsid w:val="005F081D"/>
    <w:rsid w:val="005F110C"/>
    <w:rsid w:val="005F2FC9"/>
    <w:rsid w:val="00625167"/>
    <w:rsid w:val="0065045C"/>
    <w:rsid w:val="00657759"/>
    <w:rsid w:val="00660D14"/>
    <w:rsid w:val="006622A5"/>
    <w:rsid w:val="00677B14"/>
    <w:rsid w:val="006958DB"/>
    <w:rsid w:val="0069681C"/>
    <w:rsid w:val="006D7F6B"/>
    <w:rsid w:val="006E4407"/>
    <w:rsid w:val="006F1599"/>
    <w:rsid w:val="006F2D85"/>
    <w:rsid w:val="0070406D"/>
    <w:rsid w:val="00716F00"/>
    <w:rsid w:val="00723ADD"/>
    <w:rsid w:val="00726C60"/>
    <w:rsid w:val="007344D7"/>
    <w:rsid w:val="00746BD5"/>
    <w:rsid w:val="0076505F"/>
    <w:rsid w:val="0077413A"/>
    <w:rsid w:val="007A2996"/>
    <w:rsid w:val="007A3D6C"/>
    <w:rsid w:val="007C3A15"/>
    <w:rsid w:val="008222AC"/>
    <w:rsid w:val="0084004E"/>
    <w:rsid w:val="0084696C"/>
    <w:rsid w:val="0089418C"/>
    <w:rsid w:val="0089728B"/>
    <w:rsid w:val="008D4C33"/>
    <w:rsid w:val="00906EF5"/>
    <w:rsid w:val="00923A16"/>
    <w:rsid w:val="0092710E"/>
    <w:rsid w:val="009704C6"/>
    <w:rsid w:val="00974B32"/>
    <w:rsid w:val="00980299"/>
    <w:rsid w:val="00995B84"/>
    <w:rsid w:val="009D3A11"/>
    <w:rsid w:val="009D7D21"/>
    <w:rsid w:val="009F21D0"/>
    <w:rsid w:val="00A06A74"/>
    <w:rsid w:val="00A744E6"/>
    <w:rsid w:val="00A84D47"/>
    <w:rsid w:val="00A870E9"/>
    <w:rsid w:val="00A954F5"/>
    <w:rsid w:val="00AB3ED5"/>
    <w:rsid w:val="00AC657B"/>
    <w:rsid w:val="00AE7331"/>
    <w:rsid w:val="00AF7330"/>
    <w:rsid w:val="00B01298"/>
    <w:rsid w:val="00B07BC3"/>
    <w:rsid w:val="00B12E0D"/>
    <w:rsid w:val="00B26632"/>
    <w:rsid w:val="00B32B00"/>
    <w:rsid w:val="00B33786"/>
    <w:rsid w:val="00B50C23"/>
    <w:rsid w:val="00B56B75"/>
    <w:rsid w:val="00B830F9"/>
    <w:rsid w:val="00B9623B"/>
    <w:rsid w:val="00BC4612"/>
    <w:rsid w:val="00BE4020"/>
    <w:rsid w:val="00C22CED"/>
    <w:rsid w:val="00C434E8"/>
    <w:rsid w:val="00C47ACF"/>
    <w:rsid w:val="00C6493A"/>
    <w:rsid w:val="00C756CD"/>
    <w:rsid w:val="00C87D0B"/>
    <w:rsid w:val="00CD1578"/>
    <w:rsid w:val="00CF506D"/>
    <w:rsid w:val="00D02DFF"/>
    <w:rsid w:val="00D139A2"/>
    <w:rsid w:val="00D16764"/>
    <w:rsid w:val="00DA6CCE"/>
    <w:rsid w:val="00DB2C44"/>
    <w:rsid w:val="00DD0AB3"/>
    <w:rsid w:val="00DF3ECE"/>
    <w:rsid w:val="00E03919"/>
    <w:rsid w:val="00E278F1"/>
    <w:rsid w:val="00E57B3A"/>
    <w:rsid w:val="00E66DCA"/>
    <w:rsid w:val="00E7420F"/>
    <w:rsid w:val="00E87CD9"/>
    <w:rsid w:val="00EA3943"/>
    <w:rsid w:val="00EA5905"/>
    <w:rsid w:val="00EB7E4E"/>
    <w:rsid w:val="00EC5221"/>
    <w:rsid w:val="00EE283E"/>
    <w:rsid w:val="00EE4D4D"/>
    <w:rsid w:val="00EE76FE"/>
    <w:rsid w:val="00EF445D"/>
    <w:rsid w:val="00F00975"/>
    <w:rsid w:val="00F06D75"/>
    <w:rsid w:val="00F32049"/>
    <w:rsid w:val="00F34F01"/>
    <w:rsid w:val="00F36D27"/>
    <w:rsid w:val="00F54164"/>
    <w:rsid w:val="00F6732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98029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Hipervnculo">
    <w:name w:val="Hyperlink"/>
    <w:basedOn w:val="Fuentedeprrafopredeter"/>
    <w:uiPriority w:val="99"/>
    <w:semiHidden/>
    <w:unhideWhenUsed/>
    <w:rsid w:val="00F320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980299"/>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Hipervnculo">
    <w:name w:val="Hyperlink"/>
    <w:basedOn w:val="Fuentedeprrafopredeter"/>
    <w:uiPriority w:val="99"/>
    <w:semiHidden/>
    <w:unhideWhenUsed/>
    <w:rsid w:val="00F320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22819696">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66163441">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410545934">
      <w:bodyDiv w:val="1"/>
      <w:marLeft w:val="0"/>
      <w:marRight w:val="0"/>
      <w:marTop w:val="0"/>
      <w:marBottom w:val="0"/>
      <w:divBdr>
        <w:top w:val="none" w:sz="0" w:space="0" w:color="auto"/>
        <w:left w:val="none" w:sz="0" w:space="0" w:color="auto"/>
        <w:bottom w:val="none" w:sz="0" w:space="0" w:color="auto"/>
        <w:right w:val="none" w:sz="0" w:space="0" w:color="auto"/>
      </w:divBdr>
    </w:div>
    <w:div w:id="607007816">
      <w:bodyDiv w:val="1"/>
      <w:marLeft w:val="0"/>
      <w:marRight w:val="0"/>
      <w:marTop w:val="0"/>
      <w:marBottom w:val="0"/>
      <w:divBdr>
        <w:top w:val="none" w:sz="0" w:space="0" w:color="auto"/>
        <w:left w:val="none" w:sz="0" w:space="0" w:color="auto"/>
        <w:bottom w:val="none" w:sz="0" w:space="0" w:color="auto"/>
        <w:right w:val="none" w:sz="0" w:space="0" w:color="auto"/>
      </w:divBdr>
    </w:div>
    <w:div w:id="824317605">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556043564">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1.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hyperlink" Target="http://es.wikipedia.org/wiki/Hm%C2%B3"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theme" Target="theme/theme1.xml"/><Relationship Id="rId5"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0.jpeg"/><Relationship Id="rId46" Type="http://schemas.openxmlformats.org/officeDocument/2006/relationships/image" Target="media/image18.jpeg"/><Relationship Id="rId20" Type="http://schemas.openxmlformats.org/officeDocument/2006/relationships/image" Target="media/image4.emf"/><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ADECUARA</a:t>
            </a:r>
            <a:endParaRPr lang="es-ES" sz="1400"/>
          </a:p>
        </c:rich>
      </c:tx>
      <c:layout>
        <c:manualLayout>
          <c:xMode val="edge"/>
          <c:yMode val="edge"/>
          <c:x val="0.32128167367236993"/>
          <c:y val="3.5385704175513094E-2"/>
        </c:manualLayout>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2.1012798424809253E-2</c:v>
                </c:pt>
                <c:pt idx="1">
                  <c:v>2.2797194191484123E-2</c:v>
                </c:pt>
                <c:pt idx="2">
                  <c:v>2.23357125276889E-2</c:v>
                </c:pt>
                <c:pt idx="3">
                  <c:v>2.0120600541471818E-2</c:v>
                </c:pt>
                <c:pt idx="4">
                  <c:v>2.1997292640905736E-2</c:v>
                </c:pt>
                <c:pt idx="5">
                  <c:v>2.7811961604725571E-2</c:v>
                </c:pt>
                <c:pt idx="6">
                  <c:v>3.5349495446714251E-2</c:v>
                </c:pt>
                <c:pt idx="7">
                  <c:v>3.9164410534088111E-2</c:v>
                </c:pt>
                <c:pt idx="8">
                  <c:v>3.9041348757076051E-2</c:v>
                </c:pt>
                <c:pt idx="9">
                  <c:v>3.9995077528919516E-2</c:v>
                </c:pt>
                <c:pt idx="10">
                  <c:v>3.744154565591927E-2</c:v>
                </c:pt>
                <c:pt idx="11">
                  <c:v>2.8642628599556977E-2</c:v>
                </c:pt>
                <c:pt idx="12">
                  <c:v>2.3843219296086637E-2</c:v>
                </c:pt>
                <c:pt idx="13">
                  <c:v>2.2304947083435885E-2</c:v>
                </c:pt>
                <c:pt idx="14">
                  <c:v>1.9013044548363278E-2</c:v>
                </c:pt>
                <c:pt idx="15">
                  <c:v>2.2489539748953975E-2</c:v>
                </c:pt>
                <c:pt idx="16">
                  <c:v>2.3504799409303469E-2</c:v>
                </c:pt>
                <c:pt idx="17">
                  <c:v>1.3967511690868815E-2</c:v>
                </c:pt>
                <c:pt idx="18">
                  <c:v>6.429977848880138E-3</c:v>
                </c:pt>
                <c:pt idx="19">
                  <c:v>1.8151612109278859E-3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-2.0766674870785134E-2</c:v>
                </c:pt>
                <c:pt idx="1">
                  <c:v>-2.147428008860448E-2</c:v>
                </c:pt>
                <c:pt idx="2">
                  <c:v>-2.2520305193206989E-2</c:v>
                </c:pt>
                <c:pt idx="3">
                  <c:v>-2.332020674378538E-2</c:v>
                </c:pt>
                <c:pt idx="4">
                  <c:v>-2.3412503076544425E-2</c:v>
                </c:pt>
                <c:pt idx="5">
                  <c:v>-3.1319222249569283E-2</c:v>
                </c:pt>
                <c:pt idx="6">
                  <c:v>-4.2148658626630565E-2</c:v>
                </c:pt>
                <c:pt idx="7">
                  <c:v>-4.310238739847403E-2</c:v>
                </c:pt>
                <c:pt idx="8">
                  <c:v>-4.3348510952498157E-2</c:v>
                </c:pt>
                <c:pt idx="9">
                  <c:v>-4.5563622938715236E-2</c:v>
                </c:pt>
                <c:pt idx="10">
                  <c:v>-4.2610140290425792E-2</c:v>
                </c:pt>
                <c:pt idx="11">
                  <c:v>-3.4795717450159983E-2</c:v>
                </c:pt>
                <c:pt idx="12">
                  <c:v>-2.6335220280580853E-2</c:v>
                </c:pt>
                <c:pt idx="13">
                  <c:v>-2.1628107309869554E-2</c:v>
                </c:pt>
                <c:pt idx="14">
                  <c:v>-1.7044056116170318E-2</c:v>
                </c:pt>
                <c:pt idx="15">
                  <c:v>-2.0397489539748955E-2</c:v>
                </c:pt>
                <c:pt idx="16">
                  <c:v>-1.7659365001230616E-2</c:v>
                </c:pt>
                <c:pt idx="17">
                  <c:v>-9.7526458282057599E-3</c:v>
                </c:pt>
                <c:pt idx="18">
                  <c:v>-2.9842480925424564E-3</c:v>
                </c:pt>
                <c:pt idx="19">
                  <c:v>-7.3837066207236028E-4</c:v>
                </c:pt>
              </c:numCache>
            </c:numRef>
          </c:val>
        </c:ser>
        <c:dLbls>
          <c:showLegendKey val="0"/>
          <c:showVal val="0"/>
          <c:showCatName val="0"/>
          <c:showSerName val="0"/>
          <c:showPercent val="0"/>
          <c:showBubbleSize val="0"/>
        </c:dLbls>
        <c:gapWidth val="150"/>
        <c:axId val="105231360"/>
        <c:axId val="82197248"/>
      </c:barChart>
      <c:catAx>
        <c:axId val="105231360"/>
        <c:scaling>
          <c:orientation val="minMax"/>
        </c:scaling>
        <c:delete val="0"/>
        <c:axPos val="l"/>
        <c:majorTickMark val="out"/>
        <c:minorTickMark val="none"/>
        <c:tickLblPos val="low"/>
        <c:crossAx val="82197248"/>
        <c:crosses val="autoZero"/>
        <c:auto val="1"/>
        <c:lblAlgn val="ctr"/>
        <c:lblOffset val="100"/>
        <c:noMultiLvlLbl val="0"/>
      </c:catAx>
      <c:valAx>
        <c:axId val="82197248"/>
        <c:scaling>
          <c:orientation val="minMax"/>
        </c:scaling>
        <c:delete val="1"/>
        <c:axPos val="b"/>
        <c:majorGridlines/>
        <c:numFmt formatCode="General" sourceLinked="1"/>
        <c:majorTickMark val="out"/>
        <c:minorTickMark val="none"/>
        <c:tickLblPos val="nextTo"/>
        <c:crossAx val="1052313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ADECUARA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6649291606406336E-2"/>
          <c:y val="0.102282600646706"/>
          <c:w val="0.89996635465209707"/>
          <c:h val="0.65735844050058001"/>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12</c:v>
                </c:pt>
                <c:pt idx="1">
                  <c:v>163</c:v>
                </c:pt>
                <c:pt idx="2">
                  <c:v>328</c:v>
                </c:pt>
                <c:pt idx="3">
                  <c:v>572</c:v>
                </c:pt>
                <c:pt idx="4">
                  <c:v>701</c:v>
                </c:pt>
                <c:pt idx="5">
                  <c:v>765</c:v>
                </c:pt>
                <c:pt idx="6">
                  <c:v>820</c:v>
                </c:pt>
                <c:pt idx="7">
                  <c:v>787</c:v>
                </c:pt>
                <c:pt idx="8">
                  <c:v>681</c:v>
                </c:pt>
                <c:pt idx="9">
                  <c:v>364</c:v>
                </c:pt>
                <c:pt idx="10">
                  <c:v>49</c:v>
                </c:pt>
                <c:pt idx="11">
                  <c:v>15</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12</c:v>
                </c:pt>
                <c:pt idx="1">
                  <c:v>117</c:v>
                </c:pt>
                <c:pt idx="2">
                  <c:v>303</c:v>
                </c:pt>
                <c:pt idx="3">
                  <c:v>480</c:v>
                </c:pt>
                <c:pt idx="4">
                  <c:v>621</c:v>
                </c:pt>
                <c:pt idx="5">
                  <c:v>651</c:v>
                </c:pt>
                <c:pt idx="6">
                  <c:v>701</c:v>
                </c:pt>
                <c:pt idx="7">
                  <c:v>609</c:v>
                </c:pt>
                <c:pt idx="8">
                  <c:v>439</c:v>
                </c:pt>
                <c:pt idx="9">
                  <c:v>240</c:v>
                </c:pt>
                <c:pt idx="10">
                  <c:v>31</c:v>
                </c:pt>
                <c:pt idx="11">
                  <c:v>5</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24</c:v>
                </c:pt>
                <c:pt idx="1">
                  <c:v>280</c:v>
                </c:pt>
                <c:pt idx="2">
                  <c:v>631</c:v>
                </c:pt>
                <c:pt idx="3">
                  <c:v>1052</c:v>
                </c:pt>
                <c:pt idx="4">
                  <c:v>1322</c:v>
                </c:pt>
                <c:pt idx="5">
                  <c:v>1416</c:v>
                </c:pt>
                <c:pt idx="6">
                  <c:v>1521</c:v>
                </c:pt>
                <c:pt idx="7">
                  <c:v>1396</c:v>
                </c:pt>
                <c:pt idx="8">
                  <c:v>1120</c:v>
                </c:pt>
                <c:pt idx="9">
                  <c:v>604</c:v>
                </c:pt>
                <c:pt idx="10">
                  <c:v>80</c:v>
                </c:pt>
                <c:pt idx="11">
                  <c:v>20</c:v>
                </c:pt>
              </c:numCache>
            </c:numRef>
          </c:val>
        </c:ser>
        <c:dLbls>
          <c:showLegendKey val="0"/>
          <c:showVal val="0"/>
          <c:showCatName val="0"/>
          <c:showSerName val="0"/>
          <c:showPercent val="0"/>
          <c:showBubbleSize val="0"/>
        </c:dLbls>
        <c:gapWidth val="150"/>
        <c:axId val="105230336"/>
        <c:axId val="105845824"/>
      </c:barChart>
      <c:catAx>
        <c:axId val="105230336"/>
        <c:scaling>
          <c:orientation val="minMax"/>
        </c:scaling>
        <c:delete val="0"/>
        <c:axPos val="b"/>
        <c:majorTickMark val="out"/>
        <c:minorTickMark val="none"/>
        <c:tickLblPos val="nextTo"/>
        <c:crossAx val="105845824"/>
        <c:crosses val="autoZero"/>
        <c:auto val="1"/>
        <c:lblAlgn val="ctr"/>
        <c:lblOffset val="100"/>
        <c:noMultiLvlLbl val="0"/>
      </c:catAx>
      <c:valAx>
        <c:axId val="105845824"/>
        <c:scaling>
          <c:orientation val="minMax"/>
        </c:scaling>
        <c:delete val="0"/>
        <c:axPos val="l"/>
        <c:majorGridlines/>
        <c:numFmt formatCode="General" sourceLinked="1"/>
        <c:majorTickMark val="out"/>
        <c:minorTickMark val="none"/>
        <c:tickLblPos val="nextTo"/>
        <c:crossAx val="10523033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ADECUARA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6.9288521403518655E-2"/>
          <c:y val="0.11593448714950233"/>
          <c:w val="0.90611398306875324"/>
          <c:h val="0.63101433174813537"/>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34</c:v>
                </c:pt>
                <c:pt idx="1">
                  <c:v>178</c:v>
                </c:pt>
                <c:pt idx="2">
                  <c:v>345</c:v>
                </c:pt>
                <c:pt idx="3">
                  <c:v>583</c:v>
                </c:pt>
                <c:pt idx="4">
                  <c:v>693</c:v>
                </c:pt>
                <c:pt idx="5">
                  <c:v>763</c:v>
                </c:pt>
                <c:pt idx="6">
                  <c:v>806</c:v>
                </c:pt>
                <c:pt idx="7">
                  <c:v>775</c:v>
                </c:pt>
                <c:pt idx="8">
                  <c:v>667</c:v>
                </c:pt>
                <c:pt idx="9">
                  <c:v>334</c:v>
                </c:pt>
                <c:pt idx="10">
                  <c:v>45</c:v>
                </c:pt>
                <c:pt idx="11">
                  <c:v>13</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22</c:v>
                </c:pt>
                <c:pt idx="1">
                  <c:v>134</c:v>
                </c:pt>
                <c:pt idx="2">
                  <c:v>303</c:v>
                </c:pt>
                <c:pt idx="3">
                  <c:v>509</c:v>
                </c:pt>
                <c:pt idx="4">
                  <c:v>646</c:v>
                </c:pt>
                <c:pt idx="5">
                  <c:v>659</c:v>
                </c:pt>
                <c:pt idx="6">
                  <c:v>701</c:v>
                </c:pt>
                <c:pt idx="7">
                  <c:v>616</c:v>
                </c:pt>
                <c:pt idx="8">
                  <c:v>420</c:v>
                </c:pt>
                <c:pt idx="9">
                  <c:v>239</c:v>
                </c:pt>
                <c:pt idx="10">
                  <c:v>30</c:v>
                </c:pt>
                <c:pt idx="11">
                  <c:v>5</c:v>
                </c:pt>
              </c:numCache>
            </c:numRef>
          </c:val>
        </c:ser>
        <c:dLbls>
          <c:showLegendKey val="0"/>
          <c:showVal val="0"/>
          <c:showCatName val="0"/>
          <c:showSerName val="0"/>
          <c:showPercent val="0"/>
          <c:showBubbleSize val="0"/>
        </c:dLbls>
        <c:gapWidth val="150"/>
        <c:axId val="105831936"/>
        <c:axId val="105847552"/>
      </c:barChart>
      <c:catAx>
        <c:axId val="105831936"/>
        <c:scaling>
          <c:orientation val="minMax"/>
        </c:scaling>
        <c:delete val="0"/>
        <c:axPos val="b"/>
        <c:majorTickMark val="out"/>
        <c:minorTickMark val="none"/>
        <c:tickLblPos val="nextTo"/>
        <c:crossAx val="105847552"/>
        <c:crosses val="autoZero"/>
        <c:auto val="1"/>
        <c:lblAlgn val="ctr"/>
        <c:lblOffset val="100"/>
        <c:noMultiLvlLbl val="0"/>
      </c:catAx>
      <c:valAx>
        <c:axId val="105847552"/>
        <c:scaling>
          <c:orientation val="minMax"/>
        </c:scaling>
        <c:delete val="0"/>
        <c:axPos val="l"/>
        <c:majorGridlines/>
        <c:numFmt formatCode="General" sourceLinked="1"/>
        <c:majorTickMark val="out"/>
        <c:minorTickMark val="none"/>
        <c:tickLblPos val="nextTo"/>
        <c:crossAx val="10583193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SEP!Tabla dinámica2</c:name>
    <c:fmtId val="-1"/>
  </c:pivotSource>
  <c:chart>
    <c:title>
      <c:tx>
        <c:rich>
          <a:bodyPr/>
          <a:lstStyle/>
          <a:p>
            <a:pPr>
              <a:defRPr sz="1400"/>
            </a:pPr>
            <a:r>
              <a:rPr lang="es-ES" sz="1400"/>
              <a:t>Altas</a:t>
            </a:r>
            <a:r>
              <a:rPr lang="es-ES" sz="1400" baseline="0"/>
              <a:t> por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4717638091291222E-2"/>
          <c:y val="0.10933153172926555"/>
          <c:w val="0.88943649724705465"/>
          <c:h val="0.52364262394030014"/>
        </c:manualLayout>
      </c:layout>
      <c:bar3DChart>
        <c:barDir val="col"/>
        <c:grouping val="clustered"/>
        <c:varyColors val="0"/>
        <c:ser>
          <c:idx val="0"/>
          <c:order val="0"/>
          <c:tx>
            <c:strRef>
              <c:f>'Tabla régimen-actividad SEP'!$B$7:$B$8</c:f>
              <c:strCache>
                <c:ptCount val="1"/>
                <c:pt idx="0">
                  <c:v>Suma de Agricultura, ganadería y pesca</c:v>
                </c:pt>
              </c:strCache>
            </c:strRef>
          </c:tx>
          <c:invertIfNegative val="0"/>
          <c:cat>
            <c:multiLvlStrRef>
              <c:f>'Tabla régimen-actividad SEP'!$A$9:$A$12</c:f>
              <c:multiLvlStrCache>
                <c:ptCount val="2"/>
                <c:lvl>
                  <c:pt idx="0">
                    <c:v>Autónomos</c:v>
                  </c:pt>
                  <c:pt idx="1">
                    <c:v>General</c:v>
                  </c:pt>
                </c:lvl>
                <c:lvl>
                  <c:pt idx="0">
                    <c:v>ADECUARA</c:v>
                  </c:pt>
                </c:lvl>
              </c:multiLvlStrCache>
            </c:multiLvlStrRef>
          </c:cat>
          <c:val>
            <c:numRef>
              <c:f>'Tabla régimen-actividad SEP'!$B$9:$B$12</c:f>
              <c:numCache>
                <c:formatCode>General</c:formatCode>
                <c:ptCount val="2"/>
                <c:pt idx="0">
                  <c:v>456</c:v>
                </c:pt>
                <c:pt idx="1">
                  <c:v>137</c:v>
                </c:pt>
              </c:numCache>
            </c:numRef>
          </c:val>
        </c:ser>
        <c:ser>
          <c:idx val="1"/>
          <c:order val="1"/>
          <c:tx>
            <c:strRef>
              <c:f>'Tabla régimen-actividad SEP'!$C$7:$C$8</c:f>
              <c:strCache>
                <c:ptCount val="1"/>
                <c:pt idx="0">
                  <c:v>Suma de Industria y energía</c:v>
                </c:pt>
              </c:strCache>
            </c:strRef>
          </c:tx>
          <c:invertIfNegative val="0"/>
          <c:cat>
            <c:multiLvlStrRef>
              <c:f>'Tabla régimen-actividad SEP'!$A$9:$A$12</c:f>
              <c:multiLvlStrCache>
                <c:ptCount val="2"/>
                <c:lvl>
                  <c:pt idx="0">
                    <c:v>Autónomos</c:v>
                  </c:pt>
                  <c:pt idx="1">
                    <c:v>General</c:v>
                  </c:pt>
                </c:lvl>
                <c:lvl>
                  <c:pt idx="0">
                    <c:v>ADECUARA</c:v>
                  </c:pt>
                </c:lvl>
              </c:multiLvlStrCache>
            </c:multiLvlStrRef>
          </c:cat>
          <c:val>
            <c:numRef>
              <c:f>'Tabla régimen-actividad SEP'!$C$9:$C$12</c:f>
              <c:numCache>
                <c:formatCode>General</c:formatCode>
                <c:ptCount val="2"/>
                <c:pt idx="0">
                  <c:v>151</c:v>
                </c:pt>
                <c:pt idx="1">
                  <c:v>987</c:v>
                </c:pt>
              </c:numCache>
            </c:numRef>
          </c:val>
        </c:ser>
        <c:ser>
          <c:idx val="2"/>
          <c:order val="2"/>
          <c:tx>
            <c:strRef>
              <c:f>'Tabla régimen-actividad SEP'!$D$7:$D$8</c:f>
              <c:strCache>
                <c:ptCount val="1"/>
                <c:pt idx="0">
                  <c:v>Suma de Construcción</c:v>
                </c:pt>
              </c:strCache>
            </c:strRef>
          </c:tx>
          <c:invertIfNegative val="0"/>
          <c:cat>
            <c:multiLvlStrRef>
              <c:f>'Tabla régimen-actividad SEP'!$A$9:$A$12</c:f>
              <c:multiLvlStrCache>
                <c:ptCount val="2"/>
                <c:lvl>
                  <c:pt idx="0">
                    <c:v>Autónomos</c:v>
                  </c:pt>
                  <c:pt idx="1">
                    <c:v>General</c:v>
                  </c:pt>
                </c:lvl>
                <c:lvl>
                  <c:pt idx="0">
                    <c:v>ADECUARA</c:v>
                  </c:pt>
                </c:lvl>
              </c:multiLvlStrCache>
            </c:multiLvlStrRef>
          </c:cat>
          <c:val>
            <c:numRef>
              <c:f>'Tabla régimen-actividad SEP'!$D$9:$D$12</c:f>
              <c:numCache>
                <c:formatCode>General</c:formatCode>
                <c:ptCount val="2"/>
                <c:pt idx="0">
                  <c:v>444</c:v>
                </c:pt>
                <c:pt idx="1">
                  <c:v>607</c:v>
                </c:pt>
              </c:numCache>
            </c:numRef>
          </c:val>
        </c:ser>
        <c:ser>
          <c:idx val="3"/>
          <c:order val="3"/>
          <c:tx>
            <c:strRef>
              <c:f>'Tabla régimen-actividad SEP'!$E$7:$E$8</c:f>
              <c:strCache>
                <c:ptCount val="1"/>
                <c:pt idx="0">
                  <c:v>Suma de Servicios</c:v>
                </c:pt>
              </c:strCache>
            </c:strRef>
          </c:tx>
          <c:invertIfNegative val="0"/>
          <c:cat>
            <c:multiLvlStrRef>
              <c:f>'Tabla régimen-actividad SEP'!$A$9:$A$12</c:f>
              <c:multiLvlStrCache>
                <c:ptCount val="2"/>
                <c:lvl>
                  <c:pt idx="0">
                    <c:v>Autónomos</c:v>
                  </c:pt>
                  <c:pt idx="1">
                    <c:v>General</c:v>
                  </c:pt>
                </c:lvl>
                <c:lvl>
                  <c:pt idx="0">
                    <c:v>ADECUARA</c:v>
                  </c:pt>
                </c:lvl>
              </c:multiLvlStrCache>
            </c:multiLvlStrRef>
          </c:cat>
          <c:val>
            <c:numRef>
              <c:f>'Tabla régimen-actividad SEP'!$E$9:$E$12</c:f>
              <c:numCache>
                <c:formatCode>General</c:formatCode>
                <c:ptCount val="2"/>
                <c:pt idx="0">
                  <c:v>1945</c:v>
                </c:pt>
                <c:pt idx="1">
                  <c:v>4739</c:v>
                </c:pt>
              </c:numCache>
            </c:numRef>
          </c:val>
        </c:ser>
        <c:dLbls>
          <c:showLegendKey val="0"/>
          <c:showVal val="0"/>
          <c:showCatName val="0"/>
          <c:showSerName val="0"/>
          <c:showPercent val="0"/>
          <c:showBubbleSize val="0"/>
        </c:dLbls>
        <c:gapWidth val="150"/>
        <c:shape val="box"/>
        <c:axId val="105830400"/>
        <c:axId val="81977920"/>
        <c:axId val="0"/>
      </c:bar3DChart>
      <c:catAx>
        <c:axId val="105830400"/>
        <c:scaling>
          <c:orientation val="minMax"/>
        </c:scaling>
        <c:delete val="0"/>
        <c:axPos val="b"/>
        <c:majorTickMark val="out"/>
        <c:minorTickMark val="none"/>
        <c:tickLblPos val="nextTo"/>
        <c:crossAx val="81977920"/>
        <c:crosses val="autoZero"/>
        <c:auto val="1"/>
        <c:lblAlgn val="ctr"/>
        <c:lblOffset val="100"/>
        <c:noMultiLvlLbl val="0"/>
      </c:catAx>
      <c:valAx>
        <c:axId val="81977920"/>
        <c:scaling>
          <c:orientation val="minMax"/>
        </c:scaling>
        <c:delete val="0"/>
        <c:axPos val="l"/>
        <c:majorGridlines/>
        <c:numFmt formatCode="General" sourceLinked="1"/>
        <c:majorTickMark val="out"/>
        <c:minorTickMark val="none"/>
        <c:tickLblPos val="nextTo"/>
        <c:crossAx val="1058304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9.1766510271742346E-2"/>
          <c:y val="9.8560237564161129E-2"/>
          <c:w val="0.88943649724705465"/>
          <c:h val="0.6638705624680874"/>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ADECUARA</c:v>
                  </c:pt>
                </c:lvl>
              </c:multiLvlStrCache>
            </c:multiLvlStrRef>
          </c:cat>
          <c:val>
            <c:numRef>
              <c:f>'Gráfico altas régimen y sexo'!$C$9:$C$12</c:f>
              <c:numCache>
                <c:formatCode>General</c:formatCode>
                <c:ptCount val="2"/>
                <c:pt idx="0">
                  <c:v>2996</c:v>
                </c:pt>
                <c:pt idx="1">
                  <c:v>6470</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ADECUARA</c:v>
                  </c:pt>
                </c:lvl>
              </c:multiLvlStrCache>
            </c:multiLvlStrRef>
          </c:cat>
          <c:val>
            <c:numRef>
              <c:f>'Gráfico altas régimen y sexo'!$D$9:$D$12</c:f>
              <c:numCache>
                <c:formatCode>General</c:formatCode>
                <c:ptCount val="2"/>
                <c:pt idx="0">
                  <c:v>1961</c:v>
                </c:pt>
                <c:pt idx="1">
                  <c:v>3296</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ADECUARA</c:v>
                  </c:pt>
                </c:lvl>
              </c:multiLvlStrCache>
            </c:multiLvlStrRef>
          </c:cat>
          <c:val>
            <c:numRef>
              <c:f>'Gráfico altas régimen y sexo'!$E$9:$E$12</c:f>
              <c:numCache>
                <c:formatCode>General</c:formatCode>
                <c:ptCount val="2"/>
                <c:pt idx="0">
                  <c:v>1035</c:v>
                </c:pt>
                <c:pt idx="1">
                  <c:v>3174</c:v>
                </c:pt>
              </c:numCache>
            </c:numRef>
          </c:val>
        </c:ser>
        <c:dLbls>
          <c:showLegendKey val="0"/>
          <c:showVal val="0"/>
          <c:showCatName val="0"/>
          <c:showSerName val="0"/>
          <c:showPercent val="0"/>
          <c:showBubbleSize val="0"/>
        </c:dLbls>
        <c:gapWidth val="150"/>
        <c:shape val="box"/>
        <c:axId val="106629632"/>
        <c:axId val="81979648"/>
        <c:axId val="0"/>
      </c:bar3DChart>
      <c:catAx>
        <c:axId val="106629632"/>
        <c:scaling>
          <c:orientation val="minMax"/>
        </c:scaling>
        <c:delete val="0"/>
        <c:axPos val="b"/>
        <c:majorTickMark val="out"/>
        <c:minorTickMark val="none"/>
        <c:tickLblPos val="nextTo"/>
        <c:crossAx val="81979648"/>
        <c:crosses val="autoZero"/>
        <c:auto val="1"/>
        <c:lblAlgn val="ctr"/>
        <c:lblOffset val="100"/>
        <c:noMultiLvlLbl val="0"/>
      </c:catAx>
      <c:valAx>
        <c:axId val="81979648"/>
        <c:scaling>
          <c:orientation val="minMax"/>
        </c:scaling>
        <c:delete val="0"/>
        <c:axPos val="l"/>
        <c:majorGridlines/>
        <c:numFmt formatCode="General" sourceLinked="1"/>
        <c:majorTickMark val="out"/>
        <c:minorTickMark val="none"/>
        <c:tickLblPos val="nextTo"/>
        <c:crossAx val="10662963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autoTitleDeleted val="1"/>
    <c:pivotFmts>
      <c:pivotFmt>
        <c:idx val="0"/>
      </c:pivotFmt>
      <c:pivotFmt>
        <c:idx val="1"/>
      </c:pivotFmt>
      <c:pivotFmt>
        <c:idx val="2"/>
      </c:pivotFmt>
    </c:pivotFmts>
    <c:plotArea>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15133</c:v>
                </c:pt>
                <c:pt idx="1">
                  <c:v>16846</c:v>
                </c:pt>
                <c:pt idx="2">
                  <c:v>17361</c:v>
                </c:pt>
                <c:pt idx="3">
                  <c:v>17557</c:v>
                </c:pt>
                <c:pt idx="4">
                  <c:v>16103</c:v>
                </c:pt>
                <c:pt idx="5">
                  <c:v>16197</c:v>
                </c:pt>
                <c:pt idx="6">
                  <c:v>12827</c:v>
                </c:pt>
                <c:pt idx="7">
                  <c:v>9254</c:v>
                </c:pt>
                <c:pt idx="8">
                  <c:v>6982</c:v>
                </c:pt>
                <c:pt idx="9">
                  <c:v>6147</c:v>
                </c:pt>
                <c:pt idx="10">
                  <c:v>5530</c:v>
                </c:pt>
                <c:pt idx="11">
                  <c:v>5198</c:v>
                </c:pt>
                <c:pt idx="12">
                  <c:v>5093</c:v>
                </c:pt>
              </c:numCache>
            </c:numRef>
          </c:val>
          <c:smooth val="0"/>
        </c:ser>
        <c:dLbls>
          <c:showLegendKey val="0"/>
          <c:showVal val="0"/>
          <c:showCatName val="0"/>
          <c:showSerName val="0"/>
          <c:showPercent val="0"/>
          <c:showBubbleSize val="0"/>
        </c:dLbls>
        <c:marker val="1"/>
        <c:smooth val="0"/>
        <c:axId val="105232384"/>
        <c:axId val="105521728"/>
      </c:lineChart>
      <c:catAx>
        <c:axId val="105232384"/>
        <c:scaling>
          <c:orientation val="minMax"/>
        </c:scaling>
        <c:delete val="0"/>
        <c:axPos val="b"/>
        <c:majorTickMark val="out"/>
        <c:minorTickMark val="none"/>
        <c:tickLblPos val="nextTo"/>
        <c:crossAx val="105521728"/>
        <c:crosses val="autoZero"/>
        <c:auto val="1"/>
        <c:lblAlgn val="ctr"/>
        <c:lblOffset val="100"/>
        <c:noMultiLvlLbl val="0"/>
      </c:catAx>
      <c:valAx>
        <c:axId val="105521728"/>
        <c:scaling>
          <c:orientation val="minMax"/>
        </c:scaling>
        <c:delete val="0"/>
        <c:axPos val="l"/>
        <c:majorGridlines/>
        <c:numFmt formatCode="General" sourceLinked="1"/>
        <c:majorTickMark val="out"/>
        <c:minorTickMark val="none"/>
        <c:tickLblPos val="nextTo"/>
        <c:crossAx val="105232384"/>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municipios</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373</c:v>
                </c:pt>
                <c:pt idx="1">
                  <c:v>3462</c:v>
                </c:pt>
                <c:pt idx="2">
                  <c:v>2261</c:v>
                </c:pt>
                <c:pt idx="3">
                  <c:v>3058</c:v>
                </c:pt>
                <c:pt idx="4">
                  <c:v>0</c:v>
                </c:pt>
                <c:pt idx="5">
                  <c:v>23350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6</c:v>
                </c:pt>
                <c:pt idx="1">
                  <c:v>14</c:v>
                </c:pt>
                <c:pt idx="2">
                  <c:v>3</c:v>
                </c:pt>
                <c:pt idx="3">
                  <c:v>2</c:v>
                </c:pt>
                <c:pt idx="4">
                  <c:v>0</c:v>
                </c:pt>
                <c:pt idx="5">
                  <c:v>2</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(ADECUARA)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853916286779944E-2"/>
          <c:y val="0.1254576771653543"/>
          <c:w val="0.90134909123201701"/>
          <c:h val="0.73108443475815521"/>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ADECUARA</c:v>
                </c:pt>
              </c:strCache>
            </c:strRef>
          </c:cat>
          <c:val>
            <c:numRef>
              <c:f>'nacimientos grupo'!$B$7:$B$8</c:f>
              <c:numCache>
                <c:formatCode>General</c:formatCode>
                <c:ptCount val="1"/>
                <c:pt idx="0">
                  <c:v>246</c:v>
                </c:pt>
              </c:numCache>
            </c:numRef>
          </c:val>
        </c:ser>
        <c:ser>
          <c:idx val="1"/>
          <c:order val="1"/>
          <c:tx>
            <c:strRef>
              <c:f>'nacimientos grupo'!$C$5:$C$6</c:f>
              <c:strCache>
                <c:ptCount val="1"/>
                <c:pt idx="0">
                  <c:v>Año 2011</c:v>
                </c:pt>
              </c:strCache>
            </c:strRef>
          </c:tx>
          <c:invertIfNegative val="0"/>
          <c:cat>
            <c:strRef>
              <c:f>'nacimientos grupo'!$A$7:$A$8</c:f>
              <c:strCache>
                <c:ptCount val="1"/>
                <c:pt idx="0">
                  <c:v>ADECUARA</c:v>
                </c:pt>
              </c:strCache>
            </c:strRef>
          </c:cat>
          <c:val>
            <c:numRef>
              <c:f>'nacimientos grupo'!$C$7:$C$8</c:f>
              <c:numCache>
                <c:formatCode>General</c:formatCode>
                <c:ptCount val="1"/>
                <c:pt idx="0">
                  <c:v>268</c:v>
                </c:pt>
              </c:numCache>
            </c:numRef>
          </c:val>
        </c:ser>
        <c:ser>
          <c:idx val="2"/>
          <c:order val="2"/>
          <c:tx>
            <c:strRef>
              <c:f>'nacimientos grupo'!$D$5:$D$6</c:f>
              <c:strCache>
                <c:ptCount val="1"/>
                <c:pt idx="0">
                  <c:v>Año 2010</c:v>
                </c:pt>
              </c:strCache>
            </c:strRef>
          </c:tx>
          <c:invertIfNegative val="0"/>
          <c:cat>
            <c:strRef>
              <c:f>'nacimientos grupo'!$A$7:$A$8</c:f>
              <c:strCache>
                <c:ptCount val="1"/>
                <c:pt idx="0">
                  <c:v>ADECUARA</c:v>
                </c:pt>
              </c:strCache>
            </c:strRef>
          </c:cat>
          <c:val>
            <c:numRef>
              <c:f>'nacimientos grupo'!$D$7:$D$8</c:f>
              <c:numCache>
                <c:formatCode>General</c:formatCode>
                <c:ptCount val="1"/>
                <c:pt idx="0">
                  <c:v>244</c:v>
                </c:pt>
              </c:numCache>
            </c:numRef>
          </c:val>
        </c:ser>
        <c:ser>
          <c:idx val="3"/>
          <c:order val="3"/>
          <c:tx>
            <c:strRef>
              <c:f>'nacimientos grupo'!$E$5:$E$6</c:f>
              <c:strCache>
                <c:ptCount val="1"/>
                <c:pt idx="0">
                  <c:v>Año 2009</c:v>
                </c:pt>
              </c:strCache>
            </c:strRef>
          </c:tx>
          <c:invertIfNegative val="0"/>
          <c:cat>
            <c:strRef>
              <c:f>'nacimientos grupo'!$A$7:$A$8</c:f>
              <c:strCache>
                <c:ptCount val="1"/>
                <c:pt idx="0">
                  <c:v>ADECUARA</c:v>
                </c:pt>
              </c:strCache>
            </c:strRef>
          </c:cat>
          <c:val>
            <c:numRef>
              <c:f>'nacimientos grupo'!$E$7:$E$8</c:f>
              <c:numCache>
                <c:formatCode>General</c:formatCode>
                <c:ptCount val="1"/>
                <c:pt idx="0">
                  <c:v>305</c:v>
                </c:pt>
              </c:numCache>
            </c:numRef>
          </c:val>
        </c:ser>
        <c:ser>
          <c:idx val="4"/>
          <c:order val="4"/>
          <c:tx>
            <c:strRef>
              <c:f>'nacimientos grupo'!$F$5:$F$6</c:f>
              <c:strCache>
                <c:ptCount val="1"/>
                <c:pt idx="0">
                  <c:v>Año 2008</c:v>
                </c:pt>
              </c:strCache>
            </c:strRef>
          </c:tx>
          <c:invertIfNegative val="0"/>
          <c:cat>
            <c:strRef>
              <c:f>'nacimientos grupo'!$A$7:$A$8</c:f>
              <c:strCache>
                <c:ptCount val="1"/>
                <c:pt idx="0">
                  <c:v>ADECUARA</c:v>
                </c:pt>
              </c:strCache>
            </c:strRef>
          </c:cat>
          <c:val>
            <c:numRef>
              <c:f>'nacimientos grupo'!$F$7:$F$8</c:f>
              <c:numCache>
                <c:formatCode>General</c:formatCode>
                <c:ptCount val="1"/>
                <c:pt idx="0">
                  <c:v>333</c:v>
                </c:pt>
              </c:numCache>
            </c:numRef>
          </c:val>
        </c:ser>
        <c:ser>
          <c:idx val="5"/>
          <c:order val="5"/>
          <c:tx>
            <c:strRef>
              <c:f>'nacimientos grupo'!$G$5:$G$6</c:f>
              <c:strCache>
                <c:ptCount val="1"/>
                <c:pt idx="0">
                  <c:v>Año 2007</c:v>
                </c:pt>
              </c:strCache>
            </c:strRef>
          </c:tx>
          <c:invertIfNegative val="0"/>
          <c:cat>
            <c:strRef>
              <c:f>'nacimientos grupo'!$A$7:$A$8</c:f>
              <c:strCache>
                <c:ptCount val="1"/>
                <c:pt idx="0">
                  <c:v>ADECUARA</c:v>
                </c:pt>
              </c:strCache>
            </c:strRef>
          </c:cat>
          <c:val>
            <c:numRef>
              <c:f>'nacimientos grupo'!$G$7:$G$8</c:f>
              <c:numCache>
                <c:formatCode>General</c:formatCode>
                <c:ptCount val="1"/>
                <c:pt idx="0">
                  <c:v>266</c:v>
                </c:pt>
              </c:numCache>
            </c:numRef>
          </c:val>
        </c:ser>
        <c:dLbls>
          <c:showLegendKey val="0"/>
          <c:showVal val="0"/>
          <c:showCatName val="0"/>
          <c:showSerName val="0"/>
          <c:showPercent val="0"/>
          <c:showBubbleSize val="0"/>
        </c:dLbls>
        <c:gapWidth val="150"/>
        <c:shape val="cylinder"/>
        <c:axId val="105233408"/>
        <c:axId val="105525760"/>
        <c:axId val="0"/>
      </c:bar3DChart>
      <c:catAx>
        <c:axId val="105233408"/>
        <c:scaling>
          <c:orientation val="minMax"/>
        </c:scaling>
        <c:delete val="0"/>
        <c:axPos val="b"/>
        <c:majorTickMark val="out"/>
        <c:minorTickMark val="none"/>
        <c:tickLblPos val="nextTo"/>
        <c:crossAx val="105525760"/>
        <c:crosses val="autoZero"/>
        <c:auto val="1"/>
        <c:lblAlgn val="ctr"/>
        <c:lblOffset val="100"/>
        <c:noMultiLvlLbl val="0"/>
      </c:catAx>
      <c:valAx>
        <c:axId val="105525760"/>
        <c:scaling>
          <c:orientation val="minMax"/>
        </c:scaling>
        <c:delete val="0"/>
        <c:axPos val="l"/>
        <c:majorGridlines/>
        <c:numFmt formatCode="General" sourceLinked="1"/>
        <c:majorTickMark val="out"/>
        <c:minorTickMark val="none"/>
        <c:tickLblPos val="nextTo"/>
        <c:crossAx val="10523340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definciones (ADECUARA)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9331966727843243E-2"/>
          <c:y val="0.16470881035340967"/>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ADECUARA</c:v>
                </c:pt>
              </c:strCache>
            </c:strRef>
          </c:cat>
          <c:val>
            <c:numRef>
              <c:f>'defunciones grupo'!$B$7:$B$8</c:f>
              <c:numCache>
                <c:formatCode>General</c:formatCode>
                <c:ptCount val="1"/>
                <c:pt idx="0">
                  <c:v>347</c:v>
                </c:pt>
              </c:numCache>
            </c:numRef>
          </c:val>
        </c:ser>
        <c:ser>
          <c:idx val="1"/>
          <c:order val="1"/>
          <c:tx>
            <c:strRef>
              <c:f>'defunciones grupo'!$C$5:$C$6</c:f>
              <c:strCache>
                <c:ptCount val="1"/>
                <c:pt idx="0">
                  <c:v>Año 2011</c:v>
                </c:pt>
              </c:strCache>
            </c:strRef>
          </c:tx>
          <c:invertIfNegative val="0"/>
          <c:cat>
            <c:strRef>
              <c:f>'defunciones grupo'!$A$7:$A$8</c:f>
              <c:strCache>
                <c:ptCount val="1"/>
                <c:pt idx="0">
                  <c:v>ADECUARA</c:v>
                </c:pt>
              </c:strCache>
            </c:strRef>
          </c:cat>
          <c:val>
            <c:numRef>
              <c:f>'defunciones grupo'!$C$7:$C$8</c:f>
              <c:numCache>
                <c:formatCode>General</c:formatCode>
                <c:ptCount val="1"/>
                <c:pt idx="0">
                  <c:v>335</c:v>
                </c:pt>
              </c:numCache>
            </c:numRef>
          </c:val>
        </c:ser>
        <c:ser>
          <c:idx val="2"/>
          <c:order val="2"/>
          <c:tx>
            <c:strRef>
              <c:f>'defunciones grupo'!$D$5:$D$6</c:f>
              <c:strCache>
                <c:ptCount val="1"/>
                <c:pt idx="0">
                  <c:v>Año 2010</c:v>
                </c:pt>
              </c:strCache>
            </c:strRef>
          </c:tx>
          <c:invertIfNegative val="0"/>
          <c:cat>
            <c:strRef>
              <c:f>'defunciones grupo'!$A$7:$A$8</c:f>
              <c:strCache>
                <c:ptCount val="1"/>
                <c:pt idx="0">
                  <c:v>ADECUARA</c:v>
                </c:pt>
              </c:strCache>
            </c:strRef>
          </c:cat>
          <c:val>
            <c:numRef>
              <c:f>'defunciones grupo'!$D$7:$D$8</c:f>
              <c:numCache>
                <c:formatCode>General</c:formatCode>
                <c:ptCount val="1"/>
                <c:pt idx="0">
                  <c:v>342</c:v>
                </c:pt>
              </c:numCache>
            </c:numRef>
          </c:val>
        </c:ser>
        <c:ser>
          <c:idx val="3"/>
          <c:order val="3"/>
          <c:tx>
            <c:strRef>
              <c:f>'defunciones grupo'!$E$5:$E$6</c:f>
              <c:strCache>
                <c:ptCount val="1"/>
                <c:pt idx="0">
                  <c:v>Año 2009</c:v>
                </c:pt>
              </c:strCache>
            </c:strRef>
          </c:tx>
          <c:invertIfNegative val="0"/>
          <c:cat>
            <c:strRef>
              <c:f>'defunciones grupo'!$A$7:$A$8</c:f>
              <c:strCache>
                <c:ptCount val="1"/>
                <c:pt idx="0">
                  <c:v>ADECUARA</c:v>
                </c:pt>
              </c:strCache>
            </c:strRef>
          </c:cat>
          <c:val>
            <c:numRef>
              <c:f>'defunciones grupo'!$E$7:$E$8</c:f>
              <c:numCache>
                <c:formatCode>General</c:formatCode>
                <c:ptCount val="1"/>
                <c:pt idx="0">
                  <c:v>318</c:v>
                </c:pt>
              </c:numCache>
            </c:numRef>
          </c:val>
        </c:ser>
        <c:ser>
          <c:idx val="4"/>
          <c:order val="4"/>
          <c:tx>
            <c:strRef>
              <c:f>'defunciones grupo'!$F$5:$F$6</c:f>
              <c:strCache>
                <c:ptCount val="1"/>
                <c:pt idx="0">
                  <c:v>Año 2008</c:v>
                </c:pt>
              </c:strCache>
            </c:strRef>
          </c:tx>
          <c:invertIfNegative val="0"/>
          <c:cat>
            <c:strRef>
              <c:f>'defunciones grupo'!$A$7:$A$8</c:f>
              <c:strCache>
                <c:ptCount val="1"/>
                <c:pt idx="0">
                  <c:v>ADECUARA</c:v>
                </c:pt>
              </c:strCache>
            </c:strRef>
          </c:cat>
          <c:val>
            <c:numRef>
              <c:f>'defunciones grupo'!$F$7:$F$8</c:f>
              <c:numCache>
                <c:formatCode>General</c:formatCode>
                <c:ptCount val="1"/>
                <c:pt idx="0">
                  <c:v>303</c:v>
                </c:pt>
              </c:numCache>
            </c:numRef>
          </c:val>
        </c:ser>
        <c:ser>
          <c:idx val="5"/>
          <c:order val="5"/>
          <c:tx>
            <c:strRef>
              <c:f>'defunciones grupo'!$G$5:$G$6</c:f>
              <c:strCache>
                <c:ptCount val="1"/>
                <c:pt idx="0">
                  <c:v>Año 2007</c:v>
                </c:pt>
              </c:strCache>
            </c:strRef>
          </c:tx>
          <c:invertIfNegative val="0"/>
          <c:cat>
            <c:strRef>
              <c:f>'defunciones grupo'!$A$7:$A$8</c:f>
              <c:strCache>
                <c:ptCount val="1"/>
                <c:pt idx="0">
                  <c:v>ADECUARA</c:v>
                </c:pt>
              </c:strCache>
            </c:strRef>
          </c:cat>
          <c:val>
            <c:numRef>
              <c:f>'defunciones grupo'!$G$7:$G$8</c:f>
              <c:numCache>
                <c:formatCode>General</c:formatCode>
                <c:ptCount val="1"/>
                <c:pt idx="0">
                  <c:v>318</c:v>
                </c:pt>
              </c:numCache>
            </c:numRef>
          </c:val>
        </c:ser>
        <c:ser>
          <c:idx val="6"/>
          <c:order val="6"/>
          <c:tx>
            <c:strRef>
              <c:f>'defunciones grupo'!$H$5:$H$6</c:f>
              <c:strCache>
                <c:ptCount val="1"/>
                <c:pt idx="0">
                  <c:v>Año 2006</c:v>
                </c:pt>
              </c:strCache>
            </c:strRef>
          </c:tx>
          <c:invertIfNegative val="0"/>
          <c:cat>
            <c:strRef>
              <c:f>'defunciones grupo'!$A$7:$A$8</c:f>
              <c:strCache>
                <c:ptCount val="1"/>
                <c:pt idx="0">
                  <c:v>ADECUARA</c:v>
                </c:pt>
              </c:strCache>
            </c:strRef>
          </c:cat>
          <c:val>
            <c:numRef>
              <c:f>'defunciones grupo'!$H$7:$H$8</c:f>
              <c:numCache>
                <c:formatCode>General</c:formatCode>
                <c:ptCount val="1"/>
                <c:pt idx="0">
                  <c:v>345</c:v>
                </c:pt>
              </c:numCache>
            </c:numRef>
          </c:val>
        </c:ser>
        <c:dLbls>
          <c:showLegendKey val="0"/>
          <c:showVal val="0"/>
          <c:showCatName val="0"/>
          <c:showSerName val="0"/>
          <c:showPercent val="0"/>
          <c:showBubbleSize val="0"/>
        </c:dLbls>
        <c:gapWidth val="150"/>
        <c:shape val="cylinder"/>
        <c:axId val="105828864"/>
        <c:axId val="105527488"/>
        <c:axId val="0"/>
      </c:bar3DChart>
      <c:catAx>
        <c:axId val="105828864"/>
        <c:scaling>
          <c:orientation val="minMax"/>
        </c:scaling>
        <c:delete val="0"/>
        <c:axPos val="b"/>
        <c:majorTickMark val="out"/>
        <c:minorTickMark val="none"/>
        <c:tickLblPos val="nextTo"/>
        <c:crossAx val="105527488"/>
        <c:crosses val="autoZero"/>
        <c:auto val="1"/>
        <c:lblAlgn val="ctr"/>
        <c:lblOffset val="100"/>
        <c:noMultiLvlLbl val="0"/>
      </c:catAx>
      <c:valAx>
        <c:axId val="105527488"/>
        <c:scaling>
          <c:orientation val="minMax"/>
        </c:scaling>
        <c:delete val="0"/>
        <c:axPos val="l"/>
        <c:majorGridlines/>
        <c:numFmt formatCode="General" sourceLinked="1"/>
        <c:majorTickMark val="out"/>
        <c:minorTickMark val="none"/>
        <c:tickLblPos val="nextTo"/>
        <c:crossAx val="10582886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0.1083089737138121"/>
          <c:y val="0.14787701847400017"/>
          <c:w val="0.88943649724705465"/>
          <c:h val="0.72317515342751271"/>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ADECUARA</c:v>
                </c:pt>
              </c:strCache>
            </c:strRef>
          </c:cat>
          <c:val>
            <c:numRef>
              <c:f>'variación residencia grupo'!$B$7:$B$8</c:f>
              <c:numCache>
                <c:formatCode>General</c:formatCode>
                <c:ptCount val="1"/>
                <c:pt idx="0">
                  <c:v>-263</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ADECUARA</c:v>
                </c:pt>
              </c:strCache>
            </c:strRef>
          </c:cat>
          <c:val>
            <c:numRef>
              <c:f>'variación residencia grupo'!$C$7:$C$8</c:f>
              <c:numCache>
                <c:formatCode>General</c:formatCode>
                <c:ptCount val="1"/>
                <c:pt idx="0">
                  <c:v>-212</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ADECUARA</c:v>
                </c:pt>
              </c:strCache>
            </c:strRef>
          </c:cat>
          <c:val>
            <c:numRef>
              <c:f>'variación residencia grupo'!$D$7:$D$8</c:f>
              <c:numCache>
                <c:formatCode>General</c:formatCode>
                <c:ptCount val="1"/>
                <c:pt idx="0">
                  <c:v>-174</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ADECUARA</c:v>
                </c:pt>
              </c:strCache>
            </c:strRef>
          </c:cat>
          <c:val>
            <c:numRef>
              <c:f>'variación residencia grupo'!$E$7:$E$8</c:f>
              <c:numCache>
                <c:formatCode>General</c:formatCode>
                <c:ptCount val="1"/>
                <c:pt idx="0">
                  <c:v>-35</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ADECUARA</c:v>
                </c:pt>
              </c:strCache>
            </c:strRef>
          </c:cat>
          <c:val>
            <c:numRef>
              <c:f>'variación residencia grupo'!$F$7:$F$8</c:f>
              <c:numCache>
                <c:formatCode>General</c:formatCode>
                <c:ptCount val="1"/>
                <c:pt idx="0">
                  <c:v>-29</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ADECUARA</c:v>
                </c:pt>
              </c:strCache>
            </c:strRef>
          </c:cat>
          <c:val>
            <c:numRef>
              <c:f>'variación residencia grupo'!$G$7:$G$8</c:f>
              <c:numCache>
                <c:formatCode>General</c:formatCode>
                <c:ptCount val="1"/>
                <c:pt idx="0">
                  <c:v>345</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ADECUARA</c:v>
                </c:pt>
              </c:strCache>
            </c:strRef>
          </c:cat>
          <c:val>
            <c:numRef>
              <c:f>'variación residencia grupo'!$H$7:$H$8</c:f>
              <c:numCache>
                <c:formatCode>General</c:formatCode>
                <c:ptCount val="1"/>
                <c:pt idx="0">
                  <c:v>825</c:v>
                </c:pt>
              </c:numCache>
            </c:numRef>
          </c:val>
        </c:ser>
        <c:dLbls>
          <c:showLegendKey val="0"/>
          <c:showVal val="0"/>
          <c:showCatName val="0"/>
          <c:showSerName val="0"/>
          <c:showPercent val="0"/>
          <c:showBubbleSize val="0"/>
        </c:dLbls>
        <c:gapWidth val="150"/>
        <c:shape val="cylinder"/>
        <c:axId val="105829376"/>
        <c:axId val="105840640"/>
        <c:axId val="0"/>
      </c:bar3DChart>
      <c:catAx>
        <c:axId val="105829376"/>
        <c:scaling>
          <c:orientation val="minMax"/>
        </c:scaling>
        <c:delete val="0"/>
        <c:axPos val="b"/>
        <c:majorTickMark val="out"/>
        <c:minorTickMark val="none"/>
        <c:tickLblPos val="low"/>
        <c:crossAx val="105840640"/>
        <c:crosses val="autoZero"/>
        <c:auto val="1"/>
        <c:lblAlgn val="ctr"/>
        <c:lblOffset val="100"/>
        <c:noMultiLvlLbl val="0"/>
      </c:catAx>
      <c:valAx>
        <c:axId val="105840640"/>
        <c:scaling>
          <c:orientation val="minMax"/>
        </c:scaling>
        <c:delete val="0"/>
        <c:axPos val="l"/>
        <c:majorGridlines/>
        <c:numFmt formatCode="General" sourceLinked="1"/>
        <c:majorTickMark val="out"/>
        <c:minorTickMark val="none"/>
        <c:tickLblPos val="nextTo"/>
        <c:crossAx val="10582937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0.11940467107651054"/>
          <c:y val="8.2823720142031848E-2"/>
          <c:w val="0.5892176306909005"/>
          <c:h val="0.76539592707161619"/>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ADECUARA</c:v>
                </c:pt>
              </c:strCache>
            </c:strRef>
          </c:cat>
          <c:val>
            <c:numRef>
              <c:f>'Tabla porcentajes 2012'!$B$9:$B$10</c:f>
              <c:numCache>
                <c:formatCode>0.0000%</c:formatCode>
                <c:ptCount val="1"/>
                <c:pt idx="0">
                  <c:v>2.1353228711088239E-2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ADECUARA</c:v>
                </c:pt>
              </c:strCache>
            </c:strRef>
          </c:cat>
          <c:val>
            <c:numRef>
              <c:f>'Tabla porcentajes 2012'!$C$9:$C$10</c:f>
              <c:numCache>
                <c:formatCode>0.0000%</c:formatCode>
                <c:ptCount val="1"/>
                <c:pt idx="0">
                  <c:v>1.9971738106453134E-2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ADECUARA</c:v>
                </c:pt>
              </c:strCache>
            </c:strRef>
          </c:cat>
          <c:val>
            <c:numRef>
              <c:f>'Tabla porcentajes 2012'!$D$9:$D$10</c:f>
              <c:numCache>
                <c:formatCode>0.0000%</c:formatCode>
                <c:ptCount val="1"/>
                <c:pt idx="0">
                  <c:v>3.1224655312246559E-2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ADECUARA</c:v>
                </c:pt>
              </c:strCache>
            </c:strRef>
          </c:cat>
          <c:val>
            <c:numRef>
              <c:f>'Tabla porcentajes 2012'!$E$9:$E$10</c:f>
              <c:numCache>
                <c:formatCode>0.0000%</c:formatCode>
                <c:ptCount val="1"/>
                <c:pt idx="0">
                  <c:v>3.8951504944509219E-2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ADECUARA</c:v>
                </c:pt>
              </c:strCache>
            </c:strRef>
          </c:cat>
          <c:val>
            <c:numRef>
              <c:f>'Tabla porcentajes 2012'!$F$9:$F$10</c:f>
              <c:numCache>
                <c:formatCode>0.0000%</c:formatCode>
                <c:ptCount val="1"/>
                <c:pt idx="0">
                  <c:v>3.4460682416357753E-2</c:v>
                </c:pt>
              </c:numCache>
            </c:numRef>
          </c:val>
        </c:ser>
        <c:dLbls>
          <c:showLegendKey val="0"/>
          <c:showVal val="0"/>
          <c:showCatName val="0"/>
          <c:showSerName val="0"/>
          <c:showPercent val="0"/>
          <c:showBubbleSize val="0"/>
        </c:dLbls>
        <c:gapWidth val="150"/>
        <c:shape val="box"/>
        <c:axId val="105830912"/>
        <c:axId val="105842368"/>
        <c:axId val="0"/>
      </c:bar3DChart>
      <c:catAx>
        <c:axId val="105830912"/>
        <c:scaling>
          <c:orientation val="minMax"/>
        </c:scaling>
        <c:delete val="0"/>
        <c:axPos val="b"/>
        <c:majorTickMark val="out"/>
        <c:minorTickMark val="none"/>
        <c:tickLblPos val="nextTo"/>
        <c:crossAx val="105842368"/>
        <c:crosses val="autoZero"/>
        <c:auto val="1"/>
        <c:lblAlgn val="ctr"/>
        <c:lblOffset val="100"/>
        <c:noMultiLvlLbl val="0"/>
      </c:catAx>
      <c:valAx>
        <c:axId val="105842368"/>
        <c:scaling>
          <c:orientation val="minMax"/>
        </c:scaling>
        <c:delete val="0"/>
        <c:axPos val="l"/>
        <c:majorGridlines/>
        <c:numFmt formatCode="0.00%" sourceLinked="0"/>
        <c:majorTickMark val="out"/>
        <c:minorTickMark val="none"/>
        <c:tickLblPos val="nextTo"/>
        <c:crossAx val="105830912"/>
        <c:crosses val="autoZero"/>
        <c:crossBetween val="between"/>
      </c:valAx>
    </c:plotArea>
    <c:legend>
      <c:legendPos val="b"/>
      <c:layout>
        <c:manualLayout>
          <c:xMode val="edge"/>
          <c:yMode val="edge"/>
          <c:x val="0.70091443874748227"/>
          <c:y val="7.2374209615843482E-2"/>
          <c:w val="0.29678058047976563"/>
          <c:h val="0.92762579038415649"/>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9468688946776384E-2"/>
          <c:y val="0.10028608923884515"/>
          <c:w val="0.60740557101414949"/>
          <c:h val="0.72779053773806068"/>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ADECUARA</c:v>
                </c:pt>
              </c:strCache>
            </c:strRef>
          </c:cat>
          <c:val>
            <c:numRef>
              <c:f>'Tabla evolucion 2012-2011'!$B$9</c:f>
              <c:numCache>
                <c:formatCode>General</c:formatCode>
                <c:ptCount val="1"/>
                <c:pt idx="0">
                  <c:v>8</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ADECUARA</c:v>
                </c:pt>
              </c:strCache>
            </c:strRef>
          </c:cat>
          <c:val>
            <c:numRef>
              <c:f>'Tabla evolucion 2012-2011'!$C$9</c:f>
              <c:numCache>
                <c:formatCode>General</c:formatCode>
                <c:ptCount val="1"/>
                <c:pt idx="0">
                  <c:v>-23</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ADECUARA</c:v>
                </c:pt>
              </c:strCache>
            </c:strRef>
          </c:cat>
          <c:val>
            <c:numRef>
              <c:f>'Tabla evolucion 2012-2011'!$D$9</c:f>
              <c:numCache>
                <c:formatCode>General</c:formatCode>
                <c:ptCount val="1"/>
                <c:pt idx="0">
                  <c:v>2</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ADECUARA</c:v>
                </c:pt>
              </c:strCache>
            </c:strRef>
          </c:cat>
          <c:val>
            <c:numRef>
              <c:f>'Tabla evolucion 2012-2011'!$E$9</c:f>
              <c:numCache>
                <c:formatCode>General</c:formatCode>
                <c:ptCount val="1"/>
                <c:pt idx="0">
                  <c:v>-221</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ADECUARA</c:v>
                </c:pt>
              </c:strCache>
            </c:strRef>
          </c:cat>
          <c:val>
            <c:numRef>
              <c:f>'Tabla evolucion 2012-2011'!$F$9</c:f>
              <c:numCache>
                <c:formatCode>General</c:formatCode>
                <c:ptCount val="1"/>
                <c:pt idx="0">
                  <c:v>-261</c:v>
                </c:pt>
              </c:numCache>
            </c:numRef>
          </c:val>
        </c:ser>
        <c:dLbls>
          <c:showLegendKey val="0"/>
          <c:showVal val="0"/>
          <c:showCatName val="0"/>
          <c:showSerName val="0"/>
          <c:showPercent val="0"/>
          <c:showBubbleSize val="0"/>
        </c:dLbls>
        <c:gapWidth val="150"/>
        <c:shape val="box"/>
        <c:axId val="105831424"/>
        <c:axId val="105844096"/>
        <c:axId val="0"/>
      </c:bar3DChart>
      <c:catAx>
        <c:axId val="105831424"/>
        <c:scaling>
          <c:orientation val="minMax"/>
        </c:scaling>
        <c:delete val="0"/>
        <c:axPos val="b"/>
        <c:majorTickMark val="out"/>
        <c:minorTickMark val="none"/>
        <c:tickLblPos val="low"/>
        <c:crossAx val="105844096"/>
        <c:crosses val="autoZero"/>
        <c:auto val="1"/>
        <c:lblAlgn val="ctr"/>
        <c:lblOffset val="100"/>
        <c:noMultiLvlLbl val="0"/>
      </c:catAx>
      <c:valAx>
        <c:axId val="105844096"/>
        <c:scaling>
          <c:orientation val="minMax"/>
        </c:scaling>
        <c:delete val="0"/>
        <c:axPos val="l"/>
        <c:majorGridlines/>
        <c:numFmt formatCode="General" sourceLinked="1"/>
        <c:majorTickMark val="out"/>
        <c:minorTickMark val="none"/>
        <c:tickLblPos val="nextTo"/>
        <c:crossAx val="105831424"/>
        <c:crosses val="autoZero"/>
        <c:crossBetween val="between"/>
      </c:valAx>
    </c:plotArea>
    <c:legend>
      <c:legendPos val="b"/>
      <c:layout>
        <c:manualLayout>
          <c:xMode val="edge"/>
          <c:yMode val="edge"/>
          <c:x val="0.7176253256171925"/>
          <c:y val="0.14600684283608836"/>
          <c:w val="0.26970317032739333"/>
          <c:h val="0.7859067741454242"/>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3207,72km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10,25</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9822" custLinFactNeighborY="-4411"/>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F23661FA-D4D5-4F66-9766-BE013364C55A}" srcId="{5A345620-AAE9-43AC-BFA5-7DCF838F6E6A}" destId="{DC8F0761-D699-4726-9FCA-759596682644}" srcOrd="0" destOrd="0" parTransId="{BCF338E4-6CE5-47FC-8844-97E4499475F5}" sibTransId="{3D522E44-48E3-4E26-A847-8B9E2C2F175D}"/>
    <dgm:cxn modelId="{74C1CBDF-CDF2-4A20-8654-0D7E7E2FC632}" type="presOf" srcId="{8A25AA0E-05A3-48A4-9066-D86732F11EE6}" destId="{575C1222-BBA2-426D-9CA7-C61006236803}" srcOrd="0" destOrd="0" presId="urn:microsoft.com/office/officeart/2005/8/layout/hList9"/>
    <dgm:cxn modelId="{4F2F4B2B-719E-4830-A603-E5CDB7CD9495}" type="presOf" srcId="{18A8730F-81C8-4E32-8AFC-F641D9564C32}" destId="{E62352AE-7A92-409B-A693-FF5F5F371E72}" srcOrd="0" destOrd="0" presId="urn:microsoft.com/office/officeart/2005/8/layout/hList9"/>
    <dgm:cxn modelId="{35C52A1B-4525-4F6D-B6F1-074720BB20CA}" type="presOf" srcId="{DC8F0761-D699-4726-9FCA-759596682644}" destId="{DACECD24-1E16-43E4-80BE-26CFAFDBDD5C}" srcOrd="1"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B4D7B75F-EEBF-465C-98A1-5D3AB422E8F3}" srcId="{18A8730F-81C8-4E32-8AFC-F641D9564C32}" destId="{5A345620-AAE9-43AC-BFA5-7DCF838F6E6A}" srcOrd="0" destOrd="0" parTransId="{E6081994-E4C2-4952-BBDE-14351334798F}" sibTransId="{0DB3948C-1A0B-476A-81D8-3AAF2857D4B8}"/>
    <dgm:cxn modelId="{D1099667-2C5C-483B-9A06-518023D3E49C}" type="presOf" srcId="{DC8F0761-D699-4726-9FCA-759596682644}" destId="{7E56BCF3-9CB5-4F8B-BE2F-0C63200680D4}" srcOrd="0" destOrd="0" presId="urn:microsoft.com/office/officeart/2005/8/layout/hList9"/>
    <dgm:cxn modelId="{95127476-1B92-4010-8AFB-D19B393A2CD0}" type="presOf" srcId="{F52A5D61-5B52-41D6-82AD-1AB126421323}" destId="{A37BC357-048C-4C8A-9C7C-39AAB06E79AE}" srcOrd="1" destOrd="0" presId="urn:microsoft.com/office/officeart/2005/8/layout/hList9"/>
    <dgm:cxn modelId="{4298E8C5-63D8-4452-8F6A-BBD97EFF6132}" type="presOf" srcId="{5A345620-AAE9-43AC-BFA5-7DCF838F6E6A}" destId="{BF6713A8-036E-43D7-9142-70FA401CC8E0}"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4EAE7317-07DD-4893-BAEE-87A3DFA042E8}" type="presOf" srcId="{F52A5D61-5B52-41D6-82AD-1AB126421323}" destId="{53641B60-3D2A-48DF-8978-B44702B50950}" srcOrd="0" destOrd="0" presId="urn:microsoft.com/office/officeart/2005/8/layout/hList9"/>
    <dgm:cxn modelId="{FD54153D-F0A5-4D10-BE9C-DDE6FABAB308}" type="presParOf" srcId="{E62352AE-7A92-409B-A693-FF5F5F371E72}" destId="{601C966D-3AF6-4118-B620-1E3EFBE740C9}" srcOrd="0" destOrd="0" presId="urn:microsoft.com/office/officeart/2005/8/layout/hList9"/>
    <dgm:cxn modelId="{F433AF93-DAEE-459B-9B1F-CECA68908B97}" type="presParOf" srcId="{E62352AE-7A92-409B-A693-FF5F5F371E72}" destId="{F36D099F-EEB4-4F98-872E-B1D06C65E133}" srcOrd="1" destOrd="0" presId="urn:microsoft.com/office/officeart/2005/8/layout/hList9"/>
    <dgm:cxn modelId="{1BBADDFD-6B94-4AF5-8A49-4DC01493993F}" type="presParOf" srcId="{F36D099F-EEB4-4F98-872E-B1D06C65E133}" destId="{DB5C4403-791E-4B02-859B-EC3F5B33D810}" srcOrd="0" destOrd="0" presId="urn:microsoft.com/office/officeart/2005/8/layout/hList9"/>
    <dgm:cxn modelId="{C2067C0D-C91E-4C31-9318-06A8D216F753}" type="presParOf" srcId="{F36D099F-EEB4-4F98-872E-B1D06C65E133}" destId="{8F52367C-0189-4D38-8029-7D76FCD93C77}" srcOrd="1" destOrd="0" presId="urn:microsoft.com/office/officeart/2005/8/layout/hList9"/>
    <dgm:cxn modelId="{DCB986A9-C019-45B0-AB3F-E7B1A1AF31B9}" type="presParOf" srcId="{8F52367C-0189-4D38-8029-7D76FCD93C77}" destId="{7E56BCF3-9CB5-4F8B-BE2F-0C63200680D4}" srcOrd="0" destOrd="0" presId="urn:microsoft.com/office/officeart/2005/8/layout/hList9"/>
    <dgm:cxn modelId="{17D16B64-1A19-4A65-8807-3D0B5C1327C4}" type="presParOf" srcId="{8F52367C-0189-4D38-8029-7D76FCD93C77}" destId="{DACECD24-1E16-43E4-80BE-26CFAFDBDD5C}" srcOrd="1" destOrd="0" presId="urn:microsoft.com/office/officeart/2005/8/layout/hList9"/>
    <dgm:cxn modelId="{8218627E-A63F-476B-A7DB-F65DA974BC9C}" type="presParOf" srcId="{E62352AE-7A92-409B-A693-FF5F5F371E72}" destId="{5246FFAB-65CC-4258-8CBF-5E13D423474C}" srcOrd="2" destOrd="0" presId="urn:microsoft.com/office/officeart/2005/8/layout/hList9"/>
    <dgm:cxn modelId="{8D9B936F-9A0A-48D4-9213-445C5A527A99}" type="presParOf" srcId="{E62352AE-7A92-409B-A693-FF5F5F371E72}" destId="{BF6713A8-036E-43D7-9142-70FA401CC8E0}" srcOrd="3" destOrd="0" presId="urn:microsoft.com/office/officeart/2005/8/layout/hList9"/>
    <dgm:cxn modelId="{E60489CB-D434-4608-B1C4-5623DBEE818F}" type="presParOf" srcId="{E62352AE-7A92-409B-A693-FF5F5F371E72}" destId="{FB6E445D-BFE8-4AE0-9399-C0EECE766FC0}" srcOrd="4" destOrd="0" presId="urn:microsoft.com/office/officeart/2005/8/layout/hList9"/>
    <dgm:cxn modelId="{E2315EF5-0E9B-4138-B3C9-BDD9ECE348A6}" type="presParOf" srcId="{E62352AE-7A92-409B-A693-FF5F5F371E72}" destId="{99EAC4E4-9F15-4285-B02D-55B2D929CDCE}" srcOrd="5" destOrd="0" presId="urn:microsoft.com/office/officeart/2005/8/layout/hList9"/>
    <dgm:cxn modelId="{0E3DA56D-9B7E-4789-AA8E-04EDBA53F9BF}" type="presParOf" srcId="{E62352AE-7A92-409B-A693-FF5F5F371E72}" destId="{C29BD979-117A-4098-82FD-CF9E1B668D9D}" srcOrd="6" destOrd="0" presId="urn:microsoft.com/office/officeart/2005/8/layout/hList9"/>
    <dgm:cxn modelId="{D2AF2534-2521-43C2-9B90-04641B138C54}" type="presParOf" srcId="{C29BD979-117A-4098-82FD-CF9E1B668D9D}" destId="{A6CEB835-8B0C-4E1D-9DF6-36136D68911F}" srcOrd="0" destOrd="0" presId="urn:microsoft.com/office/officeart/2005/8/layout/hList9"/>
    <dgm:cxn modelId="{349DCEC1-5971-44B1-951B-6EA98B22AB57}" type="presParOf" srcId="{C29BD979-117A-4098-82FD-CF9E1B668D9D}" destId="{43FC3AB4-C3DD-4D28-BDA2-12470C5C44D6}" srcOrd="1" destOrd="0" presId="urn:microsoft.com/office/officeart/2005/8/layout/hList9"/>
    <dgm:cxn modelId="{4C15DCB5-79E4-4C9C-95A1-143409501920}" type="presParOf" srcId="{43FC3AB4-C3DD-4D28-BDA2-12470C5C44D6}" destId="{53641B60-3D2A-48DF-8978-B44702B50950}" srcOrd="0" destOrd="0" presId="urn:microsoft.com/office/officeart/2005/8/layout/hList9"/>
    <dgm:cxn modelId="{DCDEC7B5-AE60-4BE5-AAED-40A3A3F38159}" type="presParOf" srcId="{43FC3AB4-C3DD-4D28-BDA2-12470C5C44D6}" destId="{A37BC357-048C-4C8A-9C7C-39AAB06E79AE}" srcOrd="1" destOrd="0" presId="urn:microsoft.com/office/officeart/2005/8/layout/hList9"/>
    <dgm:cxn modelId="{8AEF164F-E73B-49E5-8C2E-2B9DDB7EE64C}" type="presParOf" srcId="{E62352AE-7A92-409B-A693-FF5F5F371E72}" destId="{8196E043-9A47-465E-9AB6-9778260CB821}" srcOrd="7" destOrd="0" presId="urn:microsoft.com/office/officeart/2005/8/layout/hList9"/>
    <dgm:cxn modelId="{57AAFE05-E68E-4C06-B0C7-F391E183AA50}"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35959" y="448570"/>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3207,72km</a:t>
          </a:r>
          <a:r>
            <a:rPr lang="es-ES" sz="1500" b="1" i="0" u="none" kern="1200" baseline="30000"/>
            <a:t>2</a:t>
          </a:r>
          <a:endParaRPr lang="es-ES" sz="1500" b="1" kern="1200" baseline="30000"/>
        </a:p>
      </dsp:txBody>
      <dsp:txXfrm>
        <a:off x="1297752" y="448570"/>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10,25</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DC936D-A43B-44AE-B64F-FB06BA2C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24</Pages>
  <Words>1813</Words>
  <Characters>9972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Caracterización territorial del Grupo de Acción Local (ADECUARA)</vt:lpstr>
    </vt:vector>
  </TitlesOfParts>
  <Company/>
  <LinksUpToDate>false</LinksUpToDate>
  <CharactersWithSpaces>11762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del Grupo de Acción Local (ADECUARA)</dc:title>
  <dc:subject/>
  <dc:creator>miriam escorza torrijos</dc:creator>
  <cp:keywords/>
  <dc:description/>
  <cp:lastModifiedBy>miriam escorza torrijos</cp:lastModifiedBy>
  <cp:revision>62</cp:revision>
  <dcterms:created xsi:type="dcterms:W3CDTF">2014-12-16T11:01:00Z</dcterms:created>
  <dcterms:modified xsi:type="dcterms:W3CDTF">2015-02-19T11:17:00Z</dcterms:modified>
</cp:coreProperties>
</file>