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069A8FDF" wp14:editId="728E1B60">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50BD2903" wp14:editId="03DB2ABD">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62E" w:rsidRDefault="0017562E" w:rsidP="001756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17562E" w:rsidRDefault="0017562E" w:rsidP="0017562E">
                          <w:pPr>
                            <w:jc w:val="center"/>
                          </w:pPr>
                        </w:p>
                      </w:txbxContent>
                    </v:textbox>
                  </v:rect>
                </w:pict>
              </mc:Fallback>
            </mc:AlternateContent>
          </w:r>
        </w:p>
        <w:p w:rsidR="005047FE" w:rsidRPr="008F1315" w:rsidRDefault="00115A34" w:rsidP="00F36D27">
          <w:pPr>
            <w:jc w:val="center"/>
            <w:rPr>
              <w:b/>
              <w:color w:val="FFFFFF" w:themeColor="background1"/>
              <w:sz w:val="32"/>
              <w:szCs w:val="32"/>
            </w:rPr>
          </w:pPr>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r w:rsidR="008F1315" w:rsidRPr="008F1315">
                <w:rPr>
                  <w:b/>
                  <w:color w:val="FFFFFF" w:themeColor="background1"/>
                  <w:sz w:val="32"/>
                  <w:szCs w:val="32"/>
                </w:rPr>
                <w:t xml:space="preserve">Caracterización territorial </w:t>
              </w:r>
              <w:r w:rsidR="005B7974">
                <w:rPr>
                  <w:b/>
                  <w:color w:val="FFFFFF" w:themeColor="background1"/>
                  <w:sz w:val="32"/>
                  <w:szCs w:val="32"/>
                </w:rPr>
                <w:t>de</w:t>
              </w:r>
              <w:r w:rsidR="0017562E">
                <w:rPr>
                  <w:b/>
                  <w:color w:val="FFFFFF" w:themeColor="background1"/>
                  <w:sz w:val="32"/>
                  <w:szCs w:val="32"/>
                </w:rPr>
                <w:t xml:space="preserve"> Sierra de Albarracín. Asociación para el Desarrollo Rural Integral de la Sierra de Albarracín. </w:t>
              </w:r>
              <w:r w:rsidR="005B7974">
                <w:rPr>
                  <w:b/>
                  <w:color w:val="FFFFFF" w:themeColor="background1"/>
                  <w:sz w:val="32"/>
                  <w:szCs w:val="32"/>
                </w:rPr>
                <w:t xml:space="preserve"> </w:t>
              </w:r>
            </w:sdtContent>
          </w:sdt>
        </w:p>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5B7974" w:rsidP="00DA6CCE">
          <w:pPr>
            <w:jc w:val="both"/>
            <w:rPr>
              <w:noProof/>
              <w:lang w:eastAsia="es-ES"/>
            </w:rPr>
          </w:pPr>
        </w:p>
        <w:p w:rsidR="005B7974" w:rsidRDefault="0017562E" w:rsidP="0017562E">
          <w:pPr>
            <w:jc w:val="center"/>
            <w:rPr>
              <w:noProof/>
              <w:lang w:eastAsia="es-ES"/>
            </w:rPr>
          </w:pPr>
          <w:r>
            <w:rPr>
              <w:noProof/>
              <w:lang w:eastAsia="es-ES"/>
            </w:rPr>
            <w:drawing>
              <wp:inline distT="0" distB="0" distL="0" distR="0" wp14:anchorId="1E6D7F77" wp14:editId="69BFBB84">
                <wp:extent cx="4165600" cy="4807638"/>
                <wp:effectExtent l="0" t="0" r="6350" b="0"/>
                <wp:docPr id="8" name="Imagen 8"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7560" cy="4809900"/>
                        </a:xfrm>
                        <a:prstGeom prst="rect">
                          <a:avLst/>
                        </a:prstGeom>
                        <a:noFill/>
                        <a:ln>
                          <a:noFill/>
                        </a:ln>
                      </pic:spPr>
                    </pic:pic>
                  </a:graphicData>
                </a:graphic>
              </wp:inline>
            </w:drawing>
          </w:r>
        </w:p>
        <w:p w:rsidR="005B7974" w:rsidRDefault="005B7974" w:rsidP="00DA6CCE">
          <w:pPr>
            <w:jc w:val="both"/>
            <w:rPr>
              <w:noProof/>
              <w:lang w:eastAsia="es-ES"/>
            </w:rPr>
          </w:pPr>
        </w:p>
        <w:p w:rsidR="005B7974" w:rsidRDefault="0017562E" w:rsidP="0017562E">
          <w:pPr>
            <w:tabs>
              <w:tab w:val="left" w:pos="1600"/>
            </w:tabs>
            <w:jc w:val="both"/>
            <w:rPr>
              <w:noProof/>
              <w:lang w:eastAsia="es-ES"/>
            </w:rPr>
          </w:pPr>
          <w:r>
            <w:rPr>
              <w:noProof/>
              <w:lang w:eastAsia="es-ES"/>
            </w:rPr>
            <w:tab/>
          </w:r>
        </w:p>
        <w:tbl>
          <w:tblPr>
            <w:tblpPr w:leftFromText="187" w:rightFromText="187" w:vertAnchor="page" w:horzAnchor="margin" w:tblpY="14981"/>
            <w:tblOverlap w:val="never"/>
            <w:tblW w:w="0" w:type="auto"/>
            <w:tblLook w:val="04A0" w:firstRow="1" w:lastRow="0" w:firstColumn="1" w:lastColumn="0" w:noHBand="0" w:noVBand="1"/>
          </w:tblPr>
          <w:tblGrid>
            <w:gridCol w:w="8720"/>
          </w:tblGrid>
          <w:tr w:rsidR="0017562E" w:rsidTr="0017562E">
            <w:trPr>
              <w:trHeight w:val="360"/>
            </w:trPr>
            <w:tc>
              <w:tcPr>
                <w:tcW w:w="8720" w:type="dxa"/>
              </w:tcPr>
              <w:p w:rsidR="0017562E" w:rsidRPr="005047FE" w:rsidRDefault="0017562E" w:rsidP="0017562E">
                <w:pPr>
                  <w:pStyle w:val="Sinespaciado"/>
                  <w:jc w:val="both"/>
                  <w:rPr>
                    <w:b/>
                    <w:color w:val="000000" w:themeColor="text1"/>
                    <w:sz w:val="32"/>
                    <w:szCs w:val="32"/>
                  </w:rPr>
                </w:pPr>
                <w:r w:rsidRPr="005047FE">
                  <w:rPr>
                    <w:b/>
                    <w:color w:val="000000" w:themeColor="text1"/>
                    <w:sz w:val="32"/>
                    <w:szCs w:val="32"/>
                  </w:rPr>
                  <w:t>RADR</w:t>
                </w:r>
              </w:p>
            </w:tc>
          </w:tr>
        </w:tbl>
        <w:p w:rsidR="00FA17CC" w:rsidRDefault="00FA17CC" w:rsidP="00DA6CCE">
          <w:pPr>
            <w:jc w:val="both"/>
            <w:rPr>
              <w:noProof/>
              <w:lang w:eastAsia="es-ES"/>
            </w:rPr>
          </w:pPr>
        </w:p>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6CACD8F7" wp14:editId="3E0C5CD7">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7"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3B0311C9" wp14:editId="7FCE1093">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270" w:type="dxa"/>
            <w:jc w:val="center"/>
            <w:tblLook w:val="04A0" w:firstRow="1" w:lastRow="0" w:firstColumn="1" w:lastColumn="0" w:noHBand="0" w:noVBand="1"/>
          </w:tblPr>
          <w:tblGrid>
            <w:gridCol w:w="2764"/>
            <w:gridCol w:w="1583"/>
            <w:gridCol w:w="1337"/>
            <w:gridCol w:w="1248"/>
            <w:gridCol w:w="1338"/>
          </w:tblGrid>
          <w:tr w:rsidR="00BB78C6" w:rsidRPr="00BB78C6" w:rsidTr="00BB78C6">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noWrap/>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GRUPO</w:t>
                </w:r>
              </w:p>
            </w:tc>
            <w:tc>
              <w:tcPr>
                <w:tcW w:w="1583" w:type="dxa"/>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ASIADER</w:t>
                </w:r>
              </w:p>
            </w:tc>
            <w:tc>
              <w:tcPr>
                <w:tcW w:w="1337" w:type="dxa"/>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48" w:type="dxa"/>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37" w:type="dxa"/>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vMerge w:val="restart"/>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Clasificación zona</w:t>
                </w:r>
              </w:p>
            </w:tc>
            <w:tc>
              <w:tcPr>
                <w:tcW w:w="2920" w:type="dxa"/>
                <w:gridSpan w:val="2"/>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Población</w:t>
                </w:r>
              </w:p>
            </w:tc>
            <w:tc>
              <w:tcPr>
                <w:tcW w:w="2586" w:type="dxa"/>
                <w:gridSpan w:val="2"/>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Localidades</w:t>
                </w: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vMerge/>
                <w:hideMark/>
              </w:tcPr>
              <w:p w:rsidR="00BB78C6" w:rsidRPr="00BB78C6" w:rsidRDefault="00BB78C6" w:rsidP="00BB78C6">
                <w:pPr>
                  <w:rPr>
                    <w:rFonts w:ascii="Calibri" w:eastAsia="Times New Roman" w:hAnsi="Calibri" w:cs="Times New Roman"/>
                    <w:sz w:val="20"/>
                    <w:szCs w:val="20"/>
                    <w:lang w:eastAsia="es-ES"/>
                  </w:rPr>
                </w:pPr>
              </w:p>
            </w:tc>
            <w:tc>
              <w:tcPr>
                <w:tcW w:w="1583"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Nº</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w:t>
                </w:r>
              </w:p>
            </w:tc>
            <w:tc>
              <w:tcPr>
                <w:tcW w:w="1248"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Nº</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noWrap/>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Zona rural (&lt;2000)</w:t>
                </w:r>
              </w:p>
            </w:tc>
            <w:tc>
              <w:tcPr>
                <w:tcW w:w="1583"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5013</w:t>
                </w:r>
              </w:p>
            </w:tc>
            <w:tc>
              <w:tcPr>
                <w:tcW w:w="1337"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100,00%</w:t>
                </w:r>
              </w:p>
            </w:tc>
            <w:tc>
              <w:tcPr>
                <w:tcW w:w="1248"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29</w:t>
                </w:r>
              </w:p>
            </w:tc>
            <w:tc>
              <w:tcPr>
                <w:tcW w:w="1337"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100,00%</w:t>
                </w: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noWrap/>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Zona intermedia (&lt; 10000)</w:t>
                </w:r>
              </w:p>
            </w:tc>
            <w:tc>
              <w:tcPr>
                <w:tcW w:w="1583"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0,00%</w:t>
                </w:r>
              </w:p>
            </w:tc>
            <w:tc>
              <w:tcPr>
                <w:tcW w:w="1248"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0,00%</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noWrap/>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Zona urbana (&gt; 10000)</w:t>
                </w:r>
              </w:p>
            </w:tc>
            <w:tc>
              <w:tcPr>
                <w:tcW w:w="1583"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w:t>
                </w:r>
              </w:p>
            </w:tc>
            <w:tc>
              <w:tcPr>
                <w:tcW w:w="1337"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0,00%</w:t>
                </w:r>
              </w:p>
            </w:tc>
            <w:tc>
              <w:tcPr>
                <w:tcW w:w="1248"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w:t>
                </w:r>
              </w:p>
            </w:tc>
            <w:tc>
              <w:tcPr>
                <w:tcW w:w="1337"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0,00%</w:t>
                </w: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764" w:type="dxa"/>
                <w:noWrap/>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Total</w:t>
                </w:r>
              </w:p>
            </w:tc>
            <w:tc>
              <w:tcPr>
                <w:tcW w:w="1583"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5013</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100,00%</w:t>
                </w:r>
              </w:p>
            </w:tc>
            <w:tc>
              <w:tcPr>
                <w:tcW w:w="1248"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29</w:t>
                </w:r>
              </w:p>
            </w:tc>
            <w:tc>
              <w:tcPr>
                <w:tcW w:w="1337"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BB78C6" w:rsidP="00DA6CCE">
          <w:pPr>
            <w:pStyle w:val="Prrafodelista"/>
            <w:ind w:left="284"/>
            <w:jc w:val="both"/>
            <w:rPr>
              <w:noProof/>
              <w:lang w:eastAsia="es-ES"/>
            </w:rPr>
          </w:pPr>
          <w:r>
            <w:rPr>
              <w:noProof/>
              <w:lang w:eastAsia="es-ES"/>
            </w:rPr>
            <w:drawing>
              <wp:inline distT="0" distB="0" distL="0" distR="0" wp14:anchorId="3BAE0DDC" wp14:editId="4579F327">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BB78C6" w:rsidP="00DC45B6">
          <w:pPr>
            <w:pStyle w:val="Prrafodelista"/>
            <w:ind w:left="426"/>
            <w:jc w:val="center"/>
            <w:rPr>
              <w:b/>
              <w:sz w:val="24"/>
              <w:szCs w:val="24"/>
            </w:rPr>
          </w:pPr>
          <w:r>
            <w:rPr>
              <w:noProof/>
              <w:lang w:eastAsia="es-ES"/>
            </w:rPr>
            <w:drawing>
              <wp:inline distT="0" distB="0" distL="0" distR="0" wp14:anchorId="637B953C" wp14:editId="354395EC">
                <wp:extent cx="5405120" cy="2956560"/>
                <wp:effectExtent l="0" t="0" r="24130"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BB78C6" w:rsidP="00DA6CCE">
          <w:pPr>
            <w:pStyle w:val="Prrafodelista"/>
            <w:ind w:left="567"/>
            <w:jc w:val="both"/>
            <w:rPr>
              <w:sz w:val="24"/>
              <w:szCs w:val="24"/>
            </w:rPr>
          </w:pPr>
          <w:r w:rsidRPr="00BB78C6">
            <w:rPr>
              <w:noProof/>
              <w:lang w:eastAsia="es-ES"/>
            </w:rPr>
            <w:drawing>
              <wp:inline distT="0" distB="0" distL="0" distR="0" wp14:anchorId="413AC959" wp14:editId="074B3D91">
                <wp:extent cx="5547360" cy="1087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2585" cy="1088144"/>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BB78C6" w:rsidP="00CE7FA3">
          <w:pPr>
            <w:pStyle w:val="Prrafodelista"/>
            <w:ind w:left="567"/>
            <w:jc w:val="both"/>
            <w:rPr>
              <w:sz w:val="24"/>
              <w:szCs w:val="24"/>
            </w:rPr>
          </w:pPr>
          <w:r w:rsidRPr="00BB78C6">
            <w:rPr>
              <w:noProof/>
              <w:lang w:eastAsia="es-ES"/>
            </w:rPr>
            <w:drawing>
              <wp:inline distT="0" distB="0" distL="0" distR="0" wp14:anchorId="323077E0" wp14:editId="087392A9">
                <wp:extent cx="5608318" cy="11480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601" cy="1149161"/>
                        </a:xfrm>
                        <a:prstGeom prst="rect">
                          <a:avLst/>
                        </a:prstGeom>
                        <a:noFill/>
                        <a:ln>
                          <a:noFill/>
                        </a:ln>
                      </pic:spPr>
                    </pic:pic>
                  </a:graphicData>
                </a:graphic>
              </wp:inline>
            </w:drawing>
          </w:r>
        </w:p>
        <w:p w:rsidR="00AF7330" w:rsidRDefault="00AF7330" w:rsidP="00DA6CCE">
          <w:pPr>
            <w:jc w:val="both"/>
            <w:rPr>
              <w:sz w:val="24"/>
              <w:szCs w:val="24"/>
            </w:rPr>
          </w:pPr>
        </w:p>
        <w:p w:rsidR="005B7974" w:rsidRDefault="005B7974" w:rsidP="00DA6CCE">
          <w:pPr>
            <w:jc w:val="both"/>
            <w:rPr>
              <w:sz w:val="24"/>
              <w:szCs w:val="24"/>
            </w:rPr>
          </w:pPr>
        </w:p>
        <w:p w:rsidR="00BB78C6" w:rsidRPr="0092710E" w:rsidRDefault="00BB78C6"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BB78C6" w:rsidP="00DA6CCE">
          <w:pPr>
            <w:pStyle w:val="Prrafodelista"/>
            <w:ind w:left="426"/>
            <w:jc w:val="both"/>
          </w:pPr>
          <w:r w:rsidRPr="00BB78C6">
            <w:rPr>
              <w:noProof/>
              <w:lang w:eastAsia="es-ES"/>
            </w:rPr>
            <w:drawing>
              <wp:inline distT="0" distB="0" distL="0" distR="0" wp14:anchorId="261B583C" wp14:editId="0214CC7E">
                <wp:extent cx="5547360" cy="4978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112"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BB78C6" w:rsidP="00DA6CCE">
          <w:pPr>
            <w:pStyle w:val="Prrafodelista"/>
            <w:ind w:left="426"/>
            <w:jc w:val="both"/>
            <w:rPr>
              <w:b/>
              <w:sz w:val="24"/>
              <w:szCs w:val="24"/>
            </w:rPr>
          </w:pPr>
          <w:r w:rsidRPr="00BB78C6">
            <w:rPr>
              <w:noProof/>
              <w:lang w:eastAsia="es-ES"/>
            </w:rPr>
            <w:drawing>
              <wp:inline distT="0" distB="0" distL="0" distR="0" wp14:anchorId="012D16A8" wp14:editId="39CAEDB8">
                <wp:extent cx="5618480" cy="49784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52"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BB78C6" w:rsidP="00DA6CCE">
          <w:pPr>
            <w:pStyle w:val="Prrafodelista"/>
            <w:ind w:left="426"/>
            <w:jc w:val="both"/>
            <w:rPr>
              <w:b/>
              <w:sz w:val="24"/>
              <w:szCs w:val="24"/>
            </w:rPr>
          </w:pPr>
          <w:r w:rsidRPr="00BB78C6">
            <w:rPr>
              <w:noProof/>
              <w:lang w:eastAsia="es-ES"/>
            </w:rPr>
            <w:drawing>
              <wp:inline distT="0" distB="0" distL="0" distR="0" wp14:anchorId="3E989D8E" wp14:editId="7FE11837">
                <wp:extent cx="5618480" cy="487680"/>
                <wp:effectExtent l="0" t="0" r="127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48" cy="491262"/>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BB78C6" w:rsidP="00FA17CC">
          <w:pPr>
            <w:pStyle w:val="Prrafodelista"/>
            <w:ind w:hanging="153"/>
            <w:jc w:val="both"/>
            <w:rPr>
              <w:b/>
              <w:sz w:val="24"/>
              <w:szCs w:val="24"/>
            </w:rPr>
          </w:pPr>
          <w:r>
            <w:rPr>
              <w:noProof/>
              <w:lang w:eastAsia="es-ES"/>
            </w:rPr>
            <w:drawing>
              <wp:inline distT="0" distB="0" distL="0" distR="0" wp14:anchorId="0E29212F" wp14:editId="5B4B1624">
                <wp:extent cx="5400040" cy="2457452"/>
                <wp:effectExtent l="38100" t="0" r="1016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BB78C6" w:rsidP="00FA17CC">
          <w:pPr>
            <w:pStyle w:val="Prrafodelista"/>
            <w:ind w:left="709" w:right="-1" w:hanging="142"/>
            <w:jc w:val="both"/>
            <w:rPr>
              <w:b/>
              <w:sz w:val="24"/>
              <w:szCs w:val="24"/>
            </w:rPr>
          </w:pPr>
          <w:r>
            <w:rPr>
              <w:noProof/>
              <w:lang w:eastAsia="es-ES"/>
            </w:rPr>
            <w:drawing>
              <wp:inline distT="0" distB="0" distL="0" distR="0" wp14:anchorId="4E136C7E" wp14:editId="47844EB8">
                <wp:extent cx="5394960" cy="2621280"/>
                <wp:effectExtent l="0" t="0" r="15240" b="266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190C45" w:rsidRPr="008E7AAF" w:rsidRDefault="00190C45"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BB78C6" w:rsidRPr="00BB78C6" w:rsidTr="00BB78C6">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Tasa de masculinidad</w:t>
                </w:r>
              </w:p>
            </w:tc>
            <w:tc>
              <w:tcPr>
                <w:tcW w:w="2420" w:type="dxa"/>
                <w:vMerge w:val="restart"/>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Aragón</w:t>
                </w:r>
              </w:p>
            </w:tc>
            <w:tc>
              <w:tcPr>
                <w:tcW w:w="2800" w:type="dxa"/>
                <w:vMerge w:val="restart"/>
                <w:noWrap/>
                <w:hideMark/>
              </w:tcPr>
              <w:p w:rsidR="00BB78C6" w:rsidRPr="00BB78C6" w:rsidRDefault="00BB78C6" w:rsidP="00BB78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GAL</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c>
              <w:tcPr>
                <w:tcW w:w="280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98,94%</w:t>
                </w: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121,91%</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(número de varones dividido entre número de mujeres</w:t>
                </w: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B78C6" w:rsidRPr="00BB78C6" w:rsidRDefault="00BB78C6" w:rsidP="00BB78C6">
                <w:pPr>
                  <w:jc w:val="cente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Índice de maternidad</w:t>
                </w:r>
              </w:p>
            </w:tc>
            <w:tc>
              <w:tcPr>
                <w:tcW w:w="2420" w:type="dxa"/>
                <w:vMerge w:val="restart"/>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Aragón</w:t>
                </w:r>
              </w:p>
            </w:tc>
            <w:tc>
              <w:tcPr>
                <w:tcW w:w="2800" w:type="dxa"/>
                <w:vMerge w:val="restart"/>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GAL</w:t>
                </w: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vMerge/>
                <w:hideMark/>
              </w:tcPr>
              <w:p w:rsidR="00BB78C6" w:rsidRPr="00BB78C6" w:rsidRDefault="00BB78C6" w:rsidP="00BB78C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p>
            </w:tc>
            <w:tc>
              <w:tcPr>
                <w:tcW w:w="2800" w:type="dxa"/>
                <w:vMerge/>
                <w:hideMark/>
              </w:tcPr>
              <w:p w:rsidR="00BB78C6" w:rsidRPr="00BB78C6" w:rsidRDefault="00BB78C6" w:rsidP="00BB78C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20,92%</w:t>
                </w: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18,16%</w:t>
                </w: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(número de niños de 0 a4 años entre mujeres de 15 a 49)</w:t>
                </w: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B78C6" w:rsidRPr="00BB78C6" w:rsidRDefault="00BB78C6" w:rsidP="00BB78C6">
                <w:pPr>
                  <w:jc w:val="cente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Índice de potencialidad</w:t>
                </w:r>
              </w:p>
            </w:tc>
            <w:tc>
              <w:tcPr>
                <w:tcW w:w="2420" w:type="dxa"/>
                <w:vMerge w:val="restart"/>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Aragón</w:t>
                </w:r>
              </w:p>
            </w:tc>
            <w:tc>
              <w:tcPr>
                <w:tcW w:w="2800" w:type="dxa"/>
                <w:vMerge w:val="restart"/>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GAL</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c>
              <w:tcPr>
                <w:tcW w:w="280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77,01%</w:t>
                </w: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80,83%</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(número mujeres de 20 a 34 entre mujeres de 35 a 49)</w:t>
                </w: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B78C6" w:rsidRPr="00BB78C6" w:rsidRDefault="00BB78C6" w:rsidP="00BB78C6">
                <w:pPr>
                  <w:jc w:val="cente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B78C6" w:rsidRPr="00BB78C6" w:rsidRDefault="00BB78C6" w:rsidP="00BB78C6">
                <w:pPr>
                  <w:jc w:val="cente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B78C6" w:rsidRPr="00BB78C6" w:rsidRDefault="00BB78C6" w:rsidP="00BB78C6">
                <w:pPr>
                  <w:jc w:val="center"/>
                  <w:rPr>
                    <w:rFonts w:ascii="Calibri" w:eastAsia="Times New Roman" w:hAnsi="Calibri" w:cs="Times New Roman"/>
                    <w:sz w:val="20"/>
                    <w:szCs w:val="20"/>
                    <w:lang w:eastAsia="es-ES"/>
                  </w:rPr>
                </w:pPr>
                <w:r>
                  <w:rPr>
                    <w:rFonts w:ascii="Calibri" w:eastAsia="Times New Roman" w:hAnsi="Calibri" w:cs="Times New Roman"/>
                    <w:sz w:val="20"/>
                    <w:szCs w:val="20"/>
                    <w:lang w:eastAsia="es-ES"/>
                  </w:rPr>
                  <w:t>Coeficiente de sustitució</w:t>
                </w:r>
                <w:r w:rsidRPr="00BB78C6">
                  <w:rPr>
                    <w:rFonts w:ascii="Calibri" w:eastAsia="Times New Roman" w:hAnsi="Calibri" w:cs="Times New Roman"/>
                    <w:sz w:val="20"/>
                    <w:szCs w:val="20"/>
                    <w:lang w:eastAsia="es-ES"/>
                  </w:rPr>
                  <w:t>n</w:t>
                </w:r>
              </w:p>
            </w:tc>
            <w:tc>
              <w:tcPr>
                <w:tcW w:w="2420" w:type="dxa"/>
                <w:vMerge w:val="restart"/>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Aragón</w:t>
                </w:r>
              </w:p>
            </w:tc>
            <w:tc>
              <w:tcPr>
                <w:tcW w:w="2800" w:type="dxa"/>
                <w:vMerge w:val="restart"/>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GAL</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c>
              <w:tcPr>
                <w:tcW w:w="2800" w:type="dxa"/>
                <w:vMerge/>
                <w:hideMark/>
              </w:tcPr>
              <w:p w:rsidR="00BB78C6" w:rsidRPr="00BB78C6" w:rsidRDefault="00BB78C6" w:rsidP="00BB78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p>
            </w:tc>
          </w:tr>
          <w:tr w:rsidR="00BB78C6" w:rsidRPr="00BB78C6" w:rsidTr="00BB78C6">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B78C6" w:rsidRPr="00BB78C6" w:rsidRDefault="00BB78C6" w:rsidP="00BB78C6">
                <w:pPr>
                  <w:rPr>
                    <w:rFonts w:ascii="Calibri" w:eastAsia="Times New Roman" w:hAnsi="Calibri" w:cs="Times New Roman"/>
                    <w:sz w:val="20"/>
                    <w:szCs w:val="20"/>
                    <w:lang w:eastAsia="es-ES"/>
                  </w:rPr>
                </w:pPr>
              </w:p>
            </w:tc>
            <w:tc>
              <w:tcPr>
                <w:tcW w:w="242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80,06%</w:t>
                </w:r>
              </w:p>
            </w:tc>
            <w:tc>
              <w:tcPr>
                <w:tcW w:w="2800" w:type="dxa"/>
                <w:noWrap/>
                <w:hideMark/>
              </w:tcPr>
              <w:p w:rsidR="00BB78C6" w:rsidRPr="00BB78C6" w:rsidRDefault="00BB78C6" w:rsidP="00BB78C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B78C6">
                  <w:rPr>
                    <w:rFonts w:ascii="Calibri" w:eastAsia="Times New Roman" w:hAnsi="Calibri" w:cs="Times New Roman"/>
                    <w:b/>
                    <w:bCs/>
                    <w:sz w:val="20"/>
                    <w:szCs w:val="20"/>
                    <w:lang w:eastAsia="es-ES"/>
                  </w:rPr>
                  <w:t>53,26%</w:t>
                </w:r>
              </w:p>
            </w:tc>
          </w:tr>
          <w:tr w:rsidR="00BB78C6" w:rsidRPr="00BB78C6" w:rsidTr="00BB78C6">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B78C6" w:rsidRPr="00BB78C6" w:rsidRDefault="00BB78C6" w:rsidP="00BB78C6">
                <w:pPr>
                  <w:jc w:val="center"/>
                  <w:rPr>
                    <w:rFonts w:ascii="Calibri" w:eastAsia="Times New Roman" w:hAnsi="Calibri" w:cs="Times New Roman"/>
                    <w:sz w:val="20"/>
                    <w:szCs w:val="20"/>
                    <w:lang w:eastAsia="es-ES"/>
                  </w:rPr>
                </w:pPr>
                <w:r w:rsidRPr="00BB78C6">
                  <w:rPr>
                    <w:rFonts w:ascii="Calibri" w:eastAsia="Times New Roman" w:hAnsi="Calibri" w:cs="Times New Roman"/>
                    <w:sz w:val="20"/>
                    <w:szCs w:val="20"/>
                    <w:lang w:eastAsia="es-ES"/>
                  </w:rPr>
                  <w:t>(número de personas de 10 a 14 años entre personas de 60 a 64 años)</w:t>
                </w:r>
              </w:p>
            </w:tc>
            <w:tc>
              <w:tcPr>
                <w:tcW w:w="242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c>
              <w:tcPr>
                <w:tcW w:w="2800" w:type="dxa"/>
                <w:noWrap/>
                <w:hideMark/>
              </w:tcPr>
              <w:p w:rsidR="00BB78C6" w:rsidRPr="00BB78C6" w:rsidRDefault="00BB78C6" w:rsidP="00BB78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Pr="00974B32" w:rsidRDefault="00BB78C6" w:rsidP="00BB78C6">
          <w:pPr>
            <w:ind w:left="142"/>
            <w:jc w:val="both"/>
            <w:rPr>
              <w:b/>
              <w:sz w:val="24"/>
              <w:szCs w:val="24"/>
            </w:rPr>
          </w:pPr>
          <w:r>
            <w:rPr>
              <w:noProof/>
              <w:lang w:eastAsia="es-ES"/>
            </w:rPr>
            <w:drawing>
              <wp:inline distT="0" distB="0" distL="0" distR="0" wp14:anchorId="57621566" wp14:editId="68DBC265">
                <wp:extent cx="5400040" cy="2668859"/>
                <wp:effectExtent l="0" t="0" r="10160"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BB78C6" w:rsidP="00FA17CC">
          <w:pPr>
            <w:pStyle w:val="Prrafodelista"/>
            <w:ind w:hanging="578"/>
            <w:jc w:val="both"/>
            <w:rPr>
              <w:b/>
              <w:sz w:val="24"/>
              <w:szCs w:val="24"/>
            </w:rPr>
          </w:pPr>
          <w:r>
            <w:rPr>
              <w:noProof/>
              <w:lang w:eastAsia="es-ES"/>
            </w:rPr>
            <w:drawing>
              <wp:inline distT="0" distB="0" distL="0" distR="0" wp14:anchorId="6C921679" wp14:editId="00D229DE">
                <wp:extent cx="5400040" cy="2551546"/>
                <wp:effectExtent l="0" t="0" r="10160" b="203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2D6CE0" w:rsidRPr="002D6CE0" w:rsidTr="002D6C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Calibri" w:eastAsia="Times New Roman" w:hAnsi="Calibri" w:cs="Times New Roman"/>
                    <w:color w:val="000000"/>
                    <w:lang w:eastAsia="es-ES"/>
                  </w:rPr>
                </w:pPr>
              </w:p>
            </w:tc>
            <w:tc>
              <w:tcPr>
                <w:tcW w:w="2960" w:type="dxa"/>
                <w:gridSpan w:val="2"/>
                <w:noWrap/>
                <w:hideMark/>
              </w:tcPr>
              <w:p w:rsidR="002D6CE0" w:rsidRPr="002D6CE0" w:rsidRDefault="002D6CE0" w:rsidP="002D6C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2012</w:t>
                </w:r>
              </w:p>
            </w:tc>
            <w:tc>
              <w:tcPr>
                <w:tcW w:w="2640" w:type="dxa"/>
                <w:gridSpan w:val="2"/>
                <w:noWrap/>
                <w:hideMark/>
              </w:tcPr>
              <w:p w:rsidR="002D6CE0" w:rsidRPr="002D6CE0" w:rsidRDefault="002D6CE0" w:rsidP="002D6C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2011</w:t>
                </w: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Nacidos vivos por cada mil habitantes.</w:t>
                </w: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r>
          <w:tr w:rsidR="002D6CE0" w:rsidRPr="002D6CE0" w:rsidTr="002D6CE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Tasa Bruta de Natalidad (‰).</w:t>
                </w:r>
              </w:p>
            </w:tc>
            <w:tc>
              <w:tcPr>
                <w:tcW w:w="151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8,878</w:t>
                </w:r>
              </w:p>
            </w:tc>
            <w:tc>
              <w:tcPr>
                <w:tcW w:w="144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5,821</w:t>
                </w:r>
              </w:p>
            </w:tc>
            <w:tc>
              <w:tcPr>
                <w:tcW w:w="135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9,366</w:t>
                </w:r>
              </w:p>
            </w:tc>
            <w:tc>
              <w:tcPr>
                <w:tcW w:w="128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4,599</w:t>
                </w: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Calibri" w:eastAsia="Times New Roman" w:hAnsi="Calibri" w:cs="Times New Roman"/>
                    <w:color w:val="000000"/>
                    <w:lang w:eastAsia="es-ES"/>
                  </w:rPr>
                </w:pP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2D6CE0" w:rsidRPr="002D6CE0" w:rsidTr="002D6CE0">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Defunciones por cada mil habitantes.</w:t>
                </w:r>
              </w:p>
            </w:tc>
            <w:tc>
              <w:tcPr>
                <w:tcW w:w="151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44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c>
              <w:tcPr>
                <w:tcW w:w="135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28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Tasa Bruta de Mortalidad (‰).</w:t>
                </w: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10,170</w:t>
                </w: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13,776</w:t>
                </w: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10,067</w:t>
                </w: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13,607</w:t>
                </w:r>
              </w:p>
            </w:tc>
          </w:tr>
          <w:tr w:rsidR="002D6CE0" w:rsidRPr="002D6CE0" w:rsidTr="002D6CE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Calibri" w:eastAsia="Times New Roman" w:hAnsi="Calibri" w:cs="Times New Roman"/>
                    <w:color w:val="000000"/>
                    <w:lang w:eastAsia="es-ES"/>
                  </w:rPr>
                </w:pPr>
              </w:p>
            </w:tc>
            <w:tc>
              <w:tcPr>
                <w:tcW w:w="151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Saldo vegetativo (nacimientos menos defunciones) por cada mil habitantes.</w:t>
                </w: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r>
          <w:tr w:rsidR="002D6CE0" w:rsidRPr="002D6CE0" w:rsidTr="002D6CE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Tasa Bruta de Crecimiento Vegetativo (‰)</w:t>
                </w:r>
              </w:p>
            </w:tc>
            <w:tc>
              <w:tcPr>
                <w:tcW w:w="151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-1,292</w:t>
                </w:r>
              </w:p>
            </w:tc>
            <w:tc>
              <w:tcPr>
                <w:tcW w:w="144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-7,955</w:t>
                </w:r>
              </w:p>
            </w:tc>
            <w:tc>
              <w:tcPr>
                <w:tcW w:w="135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-0,700</w:t>
                </w:r>
              </w:p>
            </w:tc>
            <w:tc>
              <w:tcPr>
                <w:tcW w:w="128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-9,007</w:t>
                </w: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Calibri" w:eastAsia="Times New Roman" w:hAnsi="Calibri" w:cs="Times New Roman"/>
                    <w:color w:val="000000"/>
                    <w:lang w:eastAsia="es-ES"/>
                  </w:rPr>
                </w:pP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2D6CE0" w:rsidRPr="002D6CE0" w:rsidTr="002D6CE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Matrimonios por cada mil habitantes.</w:t>
                </w:r>
              </w:p>
            </w:tc>
            <w:tc>
              <w:tcPr>
                <w:tcW w:w="151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44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c>
              <w:tcPr>
                <w:tcW w:w="1353"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Aragón</w:t>
                </w:r>
              </w:p>
            </w:tc>
            <w:tc>
              <w:tcPr>
                <w:tcW w:w="1287" w:type="dxa"/>
                <w:noWrap/>
                <w:hideMark/>
              </w:tcPr>
              <w:p w:rsidR="002D6CE0" w:rsidRPr="002D6CE0" w:rsidRDefault="002D6CE0" w:rsidP="002D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GAL</w:t>
                </w:r>
              </w:p>
            </w:tc>
          </w:tr>
          <w:tr w:rsidR="002D6CE0" w:rsidRPr="002D6CE0" w:rsidTr="002D6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2D6CE0" w:rsidRPr="002D6CE0" w:rsidRDefault="002D6CE0" w:rsidP="002D6CE0">
                <w:pPr>
                  <w:jc w:val="center"/>
                  <w:rPr>
                    <w:rFonts w:ascii="Arial" w:eastAsia="Times New Roman" w:hAnsi="Arial" w:cs="Arial"/>
                    <w:sz w:val="16"/>
                    <w:szCs w:val="16"/>
                    <w:lang w:eastAsia="es-ES"/>
                  </w:rPr>
                </w:pPr>
                <w:r w:rsidRPr="002D6CE0">
                  <w:rPr>
                    <w:rFonts w:ascii="Arial" w:eastAsia="Times New Roman" w:hAnsi="Arial" w:cs="Arial"/>
                    <w:sz w:val="16"/>
                    <w:szCs w:val="16"/>
                    <w:lang w:eastAsia="es-ES"/>
                  </w:rPr>
                  <w:t>Tasa Bruta de Nupcialidad (‰).</w:t>
                </w:r>
              </w:p>
            </w:tc>
            <w:tc>
              <w:tcPr>
                <w:tcW w:w="151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3,492</w:t>
                </w:r>
              </w:p>
            </w:tc>
            <w:tc>
              <w:tcPr>
                <w:tcW w:w="144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2,716</w:t>
                </w:r>
              </w:p>
            </w:tc>
            <w:tc>
              <w:tcPr>
                <w:tcW w:w="1353"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3,205</w:t>
                </w:r>
              </w:p>
            </w:tc>
            <w:tc>
              <w:tcPr>
                <w:tcW w:w="1287" w:type="dxa"/>
                <w:noWrap/>
                <w:hideMark/>
              </w:tcPr>
              <w:p w:rsidR="002D6CE0" w:rsidRPr="002D6CE0" w:rsidRDefault="002D6CE0" w:rsidP="002D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D6CE0">
                  <w:rPr>
                    <w:rFonts w:ascii="Calibri" w:eastAsia="Times New Roman" w:hAnsi="Calibri" w:cs="Times New Roman"/>
                    <w:color w:val="000000"/>
                    <w:lang w:eastAsia="es-ES"/>
                  </w:rPr>
                  <w:t>0,767</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BB78C6" w:rsidP="00190C45">
          <w:pPr>
            <w:pStyle w:val="Prrafodelista"/>
            <w:jc w:val="center"/>
            <w:rPr>
              <w:b/>
              <w:sz w:val="24"/>
              <w:szCs w:val="24"/>
            </w:rPr>
          </w:pPr>
          <w:r>
            <w:rPr>
              <w:noProof/>
              <w:lang w:eastAsia="es-ES"/>
            </w:rPr>
            <w:drawing>
              <wp:inline distT="0" distB="0" distL="0" distR="0" wp14:anchorId="7411DADE" wp14:editId="7B554B43">
                <wp:extent cx="5039360" cy="2489200"/>
                <wp:effectExtent l="0" t="0" r="27940" b="2540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287406" w:rsidP="00106908">
          <w:pPr>
            <w:pStyle w:val="Prrafodelista"/>
            <w:ind w:left="142" w:right="-568"/>
            <w:jc w:val="both"/>
            <w:rPr>
              <w:b/>
              <w:sz w:val="24"/>
              <w:szCs w:val="24"/>
            </w:rPr>
          </w:pPr>
          <w:r>
            <w:rPr>
              <w:b/>
              <w:noProof/>
              <w:sz w:val="24"/>
              <w:szCs w:val="24"/>
              <w:lang w:eastAsia="es-ES"/>
            </w:rPr>
            <w:drawing>
              <wp:inline distT="0" distB="0" distL="0" distR="0" wp14:anchorId="0151AC64">
                <wp:extent cx="2702560" cy="1574800"/>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2560" cy="1574800"/>
                        </a:xfrm>
                        <a:prstGeom prst="rect">
                          <a:avLst/>
                        </a:prstGeom>
                        <a:noFill/>
                      </pic:spPr>
                    </pic:pic>
                  </a:graphicData>
                </a:graphic>
              </wp:inline>
            </w:drawing>
          </w:r>
          <w:r>
            <w:rPr>
              <w:b/>
              <w:noProof/>
              <w:sz w:val="24"/>
              <w:szCs w:val="24"/>
              <w:lang w:eastAsia="es-ES"/>
            </w:rPr>
            <w:drawing>
              <wp:inline distT="0" distB="0" distL="0" distR="0" wp14:anchorId="400FE66C">
                <wp:extent cx="2741910" cy="1574800"/>
                <wp:effectExtent l="0" t="0" r="190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4172" cy="1576099"/>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1CB26A92" wp14:editId="03AF364A">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8"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287406" w:rsidP="00DA6CCE">
          <w:pPr>
            <w:pStyle w:val="Prrafodelista"/>
            <w:tabs>
              <w:tab w:val="left" w:pos="3456"/>
            </w:tabs>
            <w:ind w:left="284"/>
            <w:jc w:val="both"/>
            <w:rPr>
              <w:b/>
            </w:rPr>
          </w:pPr>
          <w:r>
            <w:rPr>
              <w:noProof/>
              <w:lang w:eastAsia="es-ES"/>
            </w:rPr>
            <w:drawing>
              <wp:inline distT="0" distB="0" distL="0" distR="0" wp14:anchorId="5F05A078" wp14:editId="28A9DCD6">
                <wp:extent cx="5405120" cy="3129280"/>
                <wp:effectExtent l="0" t="0" r="24130" b="1397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287406" w:rsidP="002748A7">
          <w:pPr>
            <w:pStyle w:val="Prrafodelista"/>
            <w:tabs>
              <w:tab w:val="left" w:pos="3456"/>
            </w:tabs>
            <w:ind w:left="284"/>
            <w:jc w:val="both"/>
            <w:rPr>
              <w:b/>
            </w:rPr>
          </w:pPr>
          <w:r>
            <w:rPr>
              <w:noProof/>
              <w:lang w:eastAsia="es-ES"/>
            </w:rPr>
            <w:drawing>
              <wp:inline distT="0" distB="0" distL="0" distR="0" wp14:anchorId="4BB2C8EA" wp14:editId="7305B386">
                <wp:extent cx="5557520" cy="3251200"/>
                <wp:effectExtent l="0" t="0" r="24130" b="2540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287406" w:rsidP="00DA6CCE">
          <w:pPr>
            <w:pStyle w:val="Prrafodelista"/>
            <w:tabs>
              <w:tab w:val="left" w:pos="3456"/>
            </w:tabs>
            <w:ind w:left="0"/>
            <w:jc w:val="both"/>
            <w:rPr>
              <w:b/>
            </w:rPr>
          </w:pPr>
          <w:r>
            <w:rPr>
              <w:noProof/>
              <w:lang w:eastAsia="es-ES"/>
            </w:rPr>
            <w:drawing>
              <wp:inline distT="0" distB="0" distL="0" distR="0" wp14:anchorId="374F2764" wp14:editId="315B05BC">
                <wp:extent cx="5813860" cy="3190240"/>
                <wp:effectExtent l="0" t="0" r="15875" b="1016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287406" w:rsidP="00DA6CCE">
          <w:pPr>
            <w:pStyle w:val="Prrafodelista"/>
            <w:tabs>
              <w:tab w:val="left" w:pos="3456"/>
            </w:tabs>
            <w:ind w:left="0"/>
            <w:jc w:val="both"/>
            <w:rPr>
              <w:b/>
            </w:rPr>
          </w:pPr>
          <w:r>
            <w:rPr>
              <w:noProof/>
              <w:lang w:eastAsia="es-ES"/>
            </w:rPr>
            <w:drawing>
              <wp:inline distT="0" distB="0" distL="0" distR="0" wp14:anchorId="46A87B01" wp14:editId="3B839EFB">
                <wp:extent cx="5872480" cy="3383280"/>
                <wp:effectExtent l="0" t="0" r="13970" b="2667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BD6D8D" w:rsidP="00DA6CCE">
          <w:pPr>
            <w:pStyle w:val="Prrafodelista"/>
            <w:tabs>
              <w:tab w:val="left" w:pos="3456"/>
            </w:tabs>
            <w:ind w:left="0"/>
            <w:jc w:val="both"/>
            <w:rPr>
              <w:b/>
            </w:rPr>
          </w:pPr>
          <w:r>
            <w:rPr>
              <w:noProof/>
              <w:lang w:eastAsia="es-ES"/>
            </w:rPr>
            <w:drawing>
              <wp:inline distT="0" distB="0" distL="0" distR="0" wp14:anchorId="1EDF5967" wp14:editId="122B10FF">
                <wp:extent cx="5882640" cy="3657600"/>
                <wp:effectExtent l="0" t="0" r="2286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287406" w:rsidP="00695C58">
          <w:pPr>
            <w:pStyle w:val="Prrafodelista"/>
            <w:tabs>
              <w:tab w:val="left" w:pos="3456"/>
            </w:tabs>
            <w:ind w:left="0"/>
            <w:jc w:val="both"/>
            <w:rPr>
              <w:b/>
            </w:rPr>
          </w:pPr>
          <w:r>
            <w:rPr>
              <w:noProof/>
              <w:lang w:eastAsia="es-ES"/>
            </w:rPr>
            <w:drawing>
              <wp:inline distT="0" distB="0" distL="0" distR="0" wp14:anchorId="33098183" wp14:editId="3B49B39C">
                <wp:extent cx="5882640" cy="3556000"/>
                <wp:effectExtent l="0" t="0" r="22860" b="2540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7406" w:rsidRDefault="00287406" w:rsidP="00695C58">
          <w:pPr>
            <w:pStyle w:val="Prrafodelista"/>
            <w:tabs>
              <w:tab w:val="left" w:pos="3456"/>
            </w:tabs>
            <w:ind w:left="0"/>
            <w:jc w:val="both"/>
            <w:rPr>
              <w:b/>
            </w:rPr>
          </w:pPr>
        </w:p>
        <w:p w:rsidR="00287406" w:rsidRDefault="00287406" w:rsidP="00695C58">
          <w:pPr>
            <w:pStyle w:val="Prrafodelista"/>
            <w:tabs>
              <w:tab w:val="left" w:pos="3456"/>
            </w:tabs>
            <w:ind w:left="0"/>
            <w:jc w:val="both"/>
            <w:rPr>
              <w:b/>
            </w:rPr>
          </w:pPr>
        </w:p>
        <w:p w:rsidR="00287406" w:rsidRPr="00565BB1" w:rsidRDefault="00287406"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existen de cada tipo en el grupo A</w:t>
          </w:r>
          <w:r w:rsidR="008A75C4">
            <w:rPr>
              <w:b/>
            </w:rPr>
            <w:t>SIADER</w:t>
          </w:r>
          <w:r w:rsidR="00AF7330">
            <w:rPr>
              <w:b/>
            </w:rPr>
            <w:t xml:space="preserve"> </w:t>
          </w:r>
          <w:r w:rsidR="00AF7330" w:rsidRPr="00AF7330">
            <w:rPr>
              <w:b/>
            </w:rPr>
            <w:t>(2010).</w:t>
          </w:r>
        </w:p>
        <w:tbl>
          <w:tblPr>
            <w:tblStyle w:val="Sombreadoclaro-nfasis4"/>
            <w:tblW w:w="9145" w:type="dxa"/>
            <w:tblLook w:val="04A0" w:firstRow="1" w:lastRow="0" w:firstColumn="1" w:lastColumn="0" w:noHBand="0" w:noVBand="1"/>
          </w:tblPr>
          <w:tblGrid>
            <w:gridCol w:w="1443"/>
            <w:gridCol w:w="2076"/>
            <w:gridCol w:w="2270"/>
            <w:gridCol w:w="2351"/>
            <w:gridCol w:w="1005"/>
          </w:tblGrid>
          <w:tr w:rsidR="00287406" w:rsidRPr="00287406" w:rsidTr="00287406">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43" w:type="dxa"/>
                <w:vMerge w:val="restart"/>
                <w:noWrap/>
                <w:hideMark/>
              </w:tcPr>
              <w:p w:rsidR="00287406" w:rsidRPr="00287406" w:rsidRDefault="00287406" w:rsidP="00287406">
                <w:pPr>
                  <w:rPr>
                    <w:rFonts w:ascii="Calibri" w:eastAsia="Times New Roman" w:hAnsi="Calibri" w:cs="Times New Roman"/>
                    <w:color w:val="000000"/>
                    <w:lang w:eastAsia="es-ES"/>
                  </w:rPr>
                </w:pPr>
                <w:r w:rsidRPr="00287406">
                  <w:rPr>
                    <w:rFonts w:ascii="Calibri" w:eastAsia="Times New Roman" w:hAnsi="Calibri" w:cs="Times New Roman"/>
                    <w:color w:val="000000"/>
                    <w:lang w:eastAsia="es-ES"/>
                  </w:rPr>
                  <w:t>ASIADER</w:t>
                </w:r>
              </w:p>
            </w:tc>
            <w:tc>
              <w:tcPr>
                <w:tcW w:w="2076" w:type="dxa"/>
                <w:noWrap/>
                <w:hideMark/>
              </w:tcPr>
              <w:p w:rsidR="00287406" w:rsidRPr="00287406" w:rsidRDefault="00287406" w:rsidP="00287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87406">
                  <w:rPr>
                    <w:rFonts w:ascii="Calibri" w:eastAsia="Times New Roman" w:hAnsi="Calibri" w:cs="Times New Roman"/>
                    <w:color w:val="000000"/>
                    <w:lang w:eastAsia="es-ES"/>
                  </w:rPr>
                  <w:t>Total percepciones salarios</w:t>
                </w:r>
              </w:p>
            </w:tc>
            <w:tc>
              <w:tcPr>
                <w:tcW w:w="2270" w:type="dxa"/>
                <w:noWrap/>
                <w:hideMark/>
              </w:tcPr>
              <w:p w:rsidR="00287406" w:rsidRPr="00287406" w:rsidRDefault="00287406" w:rsidP="00287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87406">
                  <w:rPr>
                    <w:rFonts w:ascii="Calibri" w:eastAsia="Times New Roman" w:hAnsi="Calibri" w:cs="Times New Roman"/>
                    <w:color w:val="000000"/>
                    <w:lang w:eastAsia="es-ES"/>
                  </w:rPr>
                  <w:t>Total Percepciones pensiones</w:t>
                </w:r>
              </w:p>
            </w:tc>
            <w:tc>
              <w:tcPr>
                <w:tcW w:w="2351" w:type="dxa"/>
                <w:noWrap/>
                <w:hideMark/>
              </w:tcPr>
              <w:p w:rsidR="00287406" w:rsidRPr="00287406" w:rsidRDefault="00287406" w:rsidP="00287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87406">
                  <w:rPr>
                    <w:rFonts w:ascii="Calibri" w:eastAsia="Times New Roman" w:hAnsi="Calibri" w:cs="Times New Roman"/>
                    <w:color w:val="000000"/>
                    <w:lang w:eastAsia="es-ES"/>
                  </w:rPr>
                  <w:t>Total Percepciones desempleo</w:t>
                </w:r>
              </w:p>
            </w:tc>
            <w:tc>
              <w:tcPr>
                <w:tcW w:w="1005" w:type="dxa"/>
                <w:noWrap/>
                <w:hideMark/>
              </w:tcPr>
              <w:p w:rsidR="00287406" w:rsidRPr="00287406" w:rsidRDefault="00287406" w:rsidP="00287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287406">
                  <w:rPr>
                    <w:rFonts w:ascii="Calibri" w:eastAsia="Times New Roman" w:hAnsi="Calibri" w:cs="Times New Roman"/>
                    <w:color w:val="000000"/>
                    <w:lang w:eastAsia="es-ES"/>
                  </w:rPr>
                  <w:t>n total</w:t>
                </w:r>
              </w:p>
            </w:tc>
          </w:tr>
          <w:tr w:rsidR="00287406" w:rsidRPr="00287406" w:rsidTr="0028740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43" w:type="dxa"/>
                <w:vMerge/>
                <w:noWrap/>
                <w:hideMark/>
              </w:tcPr>
              <w:p w:rsidR="00287406" w:rsidRPr="00287406" w:rsidRDefault="00287406" w:rsidP="00287406">
                <w:pPr>
                  <w:rPr>
                    <w:rFonts w:ascii="Calibri" w:eastAsia="Times New Roman" w:hAnsi="Calibri" w:cs="Times New Roman"/>
                    <w:color w:val="000000"/>
                    <w:lang w:eastAsia="es-ES"/>
                  </w:rPr>
                </w:pPr>
              </w:p>
            </w:tc>
            <w:tc>
              <w:tcPr>
                <w:tcW w:w="2076" w:type="dxa"/>
                <w:noWrap/>
                <w:hideMark/>
              </w:tcPr>
              <w:p w:rsidR="00287406" w:rsidRPr="00287406" w:rsidRDefault="00287406" w:rsidP="00287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87406">
                  <w:rPr>
                    <w:rFonts w:ascii="Calibri" w:eastAsia="Times New Roman" w:hAnsi="Calibri" w:cs="Times New Roman"/>
                    <w:b/>
                    <w:bCs/>
                    <w:color w:val="000000"/>
                    <w:lang w:eastAsia="es-ES"/>
                  </w:rPr>
                  <w:t>1640</w:t>
                </w:r>
              </w:p>
            </w:tc>
            <w:tc>
              <w:tcPr>
                <w:tcW w:w="2270" w:type="dxa"/>
                <w:noWrap/>
                <w:hideMark/>
              </w:tcPr>
              <w:p w:rsidR="00287406" w:rsidRPr="00287406" w:rsidRDefault="00287406" w:rsidP="00287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87406">
                  <w:rPr>
                    <w:rFonts w:ascii="Calibri" w:eastAsia="Times New Roman" w:hAnsi="Calibri" w:cs="Times New Roman"/>
                    <w:b/>
                    <w:bCs/>
                    <w:color w:val="000000"/>
                    <w:lang w:eastAsia="es-ES"/>
                  </w:rPr>
                  <w:t>1644</w:t>
                </w:r>
              </w:p>
            </w:tc>
            <w:tc>
              <w:tcPr>
                <w:tcW w:w="2351" w:type="dxa"/>
                <w:noWrap/>
                <w:hideMark/>
              </w:tcPr>
              <w:p w:rsidR="00287406" w:rsidRPr="00287406" w:rsidRDefault="00287406" w:rsidP="00287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87406">
                  <w:rPr>
                    <w:rFonts w:ascii="Calibri" w:eastAsia="Times New Roman" w:hAnsi="Calibri" w:cs="Times New Roman"/>
                    <w:b/>
                    <w:bCs/>
                    <w:color w:val="000000"/>
                    <w:lang w:eastAsia="es-ES"/>
                  </w:rPr>
                  <w:t>382</w:t>
                </w:r>
              </w:p>
            </w:tc>
            <w:tc>
              <w:tcPr>
                <w:tcW w:w="1005" w:type="dxa"/>
                <w:noWrap/>
                <w:hideMark/>
              </w:tcPr>
              <w:p w:rsidR="00287406" w:rsidRPr="00287406" w:rsidRDefault="00287406" w:rsidP="00287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87406">
                  <w:rPr>
                    <w:rFonts w:ascii="Calibri" w:eastAsia="Times New Roman" w:hAnsi="Calibri" w:cs="Times New Roman"/>
                    <w:b/>
                    <w:bCs/>
                    <w:color w:val="000000"/>
                    <w:lang w:eastAsia="es-ES"/>
                  </w:rPr>
                  <w:t>5013</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286C91" w:rsidRDefault="00286C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Acción Local A</w:t>
          </w:r>
          <w:r w:rsidR="0073084C">
            <w:t>SIADER</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agrupación de comarcas de </w:t>
          </w:r>
          <w:r w:rsidR="0073084C">
            <w:t>la Sierra de Albarracín y la Comunidad de Teruel</w:t>
          </w:r>
          <w:r w:rsidR="00286C91">
            <w:t xml:space="preserve">, </w:t>
          </w:r>
          <w:r w:rsidR="009508AE">
            <w:t xml:space="preserve"> </w:t>
          </w:r>
          <w:r w:rsidR="00924E6A">
            <w:t>y engloba un total de</w:t>
          </w:r>
          <w:r w:rsidR="00286C91">
            <w:t xml:space="preserve"> </w:t>
          </w:r>
          <w:r w:rsidR="0073084C">
            <w:t>29</w:t>
          </w:r>
          <w:r w:rsidR="00286C91">
            <w:t xml:space="preserve"> </w:t>
          </w:r>
          <w:r w:rsidR="00924E6A">
            <w:t>municipios.</w:t>
          </w:r>
        </w:p>
        <w:p w:rsidR="00D139A2" w:rsidRPr="003D4E91" w:rsidRDefault="00D139A2" w:rsidP="00DA6CCE">
          <w:pPr>
            <w:pStyle w:val="Prrafodelista"/>
            <w:tabs>
              <w:tab w:val="left" w:pos="3456"/>
            </w:tabs>
            <w:ind w:left="284"/>
            <w:jc w:val="both"/>
          </w:pPr>
        </w:p>
        <w:p w:rsidR="00B96BF7" w:rsidRPr="009A6AF4" w:rsidRDefault="00115A34" w:rsidP="009A6AF4">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pt;height:508pt">
                <v:imagedata r:id="rId36" o:title="localización"/>
              </v:shape>
            </w:pict>
          </w:r>
        </w:p>
        <w:p w:rsidR="009A6AF4" w:rsidRDefault="00924E6A" w:rsidP="008D4C33">
          <w:pPr>
            <w:ind w:firstLine="708"/>
            <w:jc w:val="both"/>
          </w:pPr>
          <w:r>
            <w:lastRenderedPageBreak/>
            <w:t>El grupo de acción local</w:t>
          </w:r>
          <w:r w:rsidR="00737319">
            <w:t xml:space="preserve"> </w:t>
          </w:r>
          <w:r w:rsidR="009508AE">
            <w:t>A</w:t>
          </w:r>
          <w:r w:rsidR="0073084C">
            <w:t>SIADER</w:t>
          </w:r>
          <w:r w:rsidR="009A6AF4">
            <w:t xml:space="preserve"> agrupa el conjunto de comarcas de La Sierra de Albarracín y la Comunidad de Teruel, ambas presentan relieves de altitud considerable. En el caso de la Sierra de Albarracín vemos como se trata de una comarcas que </w:t>
          </w:r>
          <w:r w:rsidR="009A6AF4">
            <w:t xml:space="preserve">forma parte del sistema orográfico de los Montes Universales, </w:t>
          </w:r>
          <w:r w:rsidR="009A6AF4">
            <w:t xml:space="preserve">caracterizado por la presencia de relieves escarpados como son las crestas, los páramos separados por hoces, los barrancos y las muelas. La Comunidad de Teruel por su parte, se caracteriza por la presencia de dos grandes fosas tectónicas la de </w:t>
          </w:r>
          <w:r w:rsidR="009A6AF4">
            <w:t xml:space="preserve">la depresión del río Jiloca y la del río </w:t>
          </w:r>
          <w:proofErr w:type="spellStart"/>
          <w:r w:rsidR="009A6AF4">
            <w:t>Alfambra</w:t>
          </w:r>
          <w:proofErr w:type="spellEnd"/>
          <w:r w:rsidR="009A6AF4">
            <w:t>-Turia</w:t>
          </w:r>
          <w:r w:rsidR="009A6AF4">
            <w:t>.</w:t>
          </w:r>
          <w:bookmarkStart w:id="0" w:name="_GoBack"/>
          <w:bookmarkEnd w:id="0"/>
        </w:p>
        <w:p w:rsidR="0073084C" w:rsidRDefault="009A6AF4" w:rsidP="008D4C33">
          <w:pPr>
            <w:ind w:firstLine="708"/>
            <w:jc w:val="both"/>
          </w:pPr>
          <w:r>
            <w:pict>
              <v:shape id="_x0000_i1026" type="#_x0000_t75" style="width:376pt;height:531.2pt">
                <v:imagedata r:id="rId37" o:title="medio_fisico"/>
              </v:shape>
            </w:pict>
          </w:r>
        </w:p>
        <w:p w:rsidR="003D4E91" w:rsidRDefault="003D4E91" w:rsidP="00452FBF">
          <w:pPr>
            <w:jc w:val="center"/>
            <w:rPr>
              <w:b/>
            </w:rPr>
          </w:pPr>
        </w:p>
        <w:p w:rsidR="009508AE" w:rsidRDefault="009508AE" w:rsidP="00DA6CCE">
          <w:pPr>
            <w:jc w:val="both"/>
            <w:rPr>
              <w:b/>
            </w:rPr>
          </w:pP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286C91">
            <w:t>A</w:t>
          </w:r>
          <w:r w:rsidR="0073084C">
            <w:t>SIADER</w:t>
          </w:r>
          <w:r w:rsidR="000A6D47">
            <w:t xml:space="preserve"> </w:t>
          </w:r>
          <w:r w:rsidR="00BE5550">
            <w:t>vemos como la mayoría de municipios presentan tasas de masculinida</w:t>
          </w:r>
          <w:r w:rsidR="00E81C69">
            <w:t xml:space="preserve">d superiores a las de feminidad. A excepción de </w:t>
          </w:r>
          <w:proofErr w:type="spellStart"/>
          <w:r w:rsidR="0073084C">
            <w:t>Tramcastilla</w:t>
          </w:r>
          <w:proofErr w:type="spellEnd"/>
          <w:r w:rsidR="0073084C">
            <w:t>.</w:t>
          </w:r>
        </w:p>
        <w:p w:rsidR="00592215" w:rsidRDefault="00115A34" w:rsidP="00DA02BE">
          <w:pPr>
            <w:jc w:val="center"/>
            <w:rPr>
              <w:b/>
            </w:rPr>
          </w:pPr>
          <w:r>
            <w:rPr>
              <w:b/>
            </w:rPr>
            <w:pict>
              <v:shape id="_x0000_i1027" type="#_x0000_t75" style="width:424.8pt;height:600.8pt">
                <v:imagedata r:id="rId38" o:title="densi_femmascu"/>
              </v:shape>
            </w:pict>
          </w:r>
        </w:p>
        <w:p w:rsidR="0073084C" w:rsidRDefault="00592215" w:rsidP="00DA6CCE">
          <w:pPr>
            <w:jc w:val="both"/>
            <w:rPr>
              <w:b/>
            </w:rPr>
          </w:pPr>
          <w:r>
            <w:rPr>
              <w:b/>
            </w:rPr>
            <w:tab/>
          </w: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115A34" w:rsidP="00452FBF">
          <w:pPr>
            <w:jc w:val="center"/>
            <w:rPr>
              <w:b/>
            </w:rPr>
          </w:pPr>
          <w:r>
            <w:rPr>
              <w:b/>
              <w:noProof/>
              <w:lang w:eastAsia="es-ES"/>
            </w:rPr>
            <w:pict>
              <v:shape id="_x0000_i1028" type="#_x0000_t75" style="width:397.6pt;height:529.6pt">
                <v:imagedata r:id="rId39" o:title="TASAENVEJMEDIARAGON_asiader"/>
              </v:shape>
            </w:pict>
          </w:r>
        </w:p>
        <w:p w:rsidR="0073084C" w:rsidRDefault="00592215" w:rsidP="00DA6CCE">
          <w:pPr>
            <w:jc w:val="both"/>
          </w:pPr>
          <w:r>
            <w:rPr>
              <w:b/>
            </w:rPr>
            <w:tab/>
          </w:r>
          <w:r>
            <w:t xml:space="preserve">Los municipios </w:t>
          </w:r>
          <w:r w:rsidRPr="00592215">
            <w:t xml:space="preserve">que </w:t>
          </w:r>
          <w:r>
            <w:t xml:space="preserve">se representan en gris son aquellos de los que no hemos podido disponer de datos. </w:t>
          </w:r>
          <w:r w:rsidR="00DA02BE">
            <w:t>E</w:t>
          </w:r>
          <w:r w:rsidR="00AB3ED5">
            <w:t>n amarillo</w:t>
          </w:r>
          <w:r>
            <w:t xml:space="preserve"> vemos los valores que se asemejan a la media de Aragón</w:t>
          </w:r>
          <w:r w:rsidR="0073084C">
            <w:t xml:space="preserve"> aunque en este caso ningún municipio presenta una tasa de envejecimiento que se asemeje a la media de Aragón.</w:t>
          </w:r>
          <w:r w:rsidR="00D1226C">
            <w:t xml:space="preserve"> </w:t>
          </w:r>
          <w:r w:rsidR="0073084C">
            <w:t>Y</w:t>
          </w:r>
          <w:r>
            <w:t xml:space="preserve">, en el último caso, los valores que se representan en diferentes tonalidades de rojo son aquellos </w:t>
          </w:r>
          <w:r w:rsidR="00AB3ED5">
            <w:t xml:space="preserve">que se encuentran por encima de la media. Con estas </w:t>
          </w:r>
          <w:r w:rsidR="00AB3ED5">
            <w:lastRenderedPageBreak/>
            <w:t xml:space="preserve">tonalidades hemos querido resaltar aquellos municipios que dentro de tasas altas de envejecimiento tienen valores </w:t>
          </w:r>
          <w:r w:rsidR="005C032F">
            <w:t>más</w:t>
          </w:r>
          <w:r w:rsidR="00AB3ED5">
            <w:t xml:space="preserve"> alarmantes y cuales todavía no tanto</w:t>
          </w:r>
          <w:r w:rsidR="000B686B">
            <w:t xml:space="preserve">. </w:t>
          </w:r>
          <w:r w:rsidR="000725D3">
            <w:t>Aquellos municipios que se encuentran en una situación alarmante en cuanto a valores muy superiores a la media de envejecimiento de Aragón son:</w:t>
          </w:r>
          <w:r w:rsidR="0073084C">
            <w:t xml:space="preserve"> Monterde de Albarracín (3600%), Calomarde (1850%), El Vallecillo (1700%), Veguillas de la Sierra (1300%), </w:t>
          </w:r>
          <w:proofErr w:type="spellStart"/>
          <w:r w:rsidR="0073084C">
            <w:t>Pozondón</w:t>
          </w:r>
          <w:proofErr w:type="spellEnd"/>
          <w:r w:rsidR="0073084C">
            <w:t xml:space="preserve"> (1133,3%) y </w:t>
          </w:r>
          <w:proofErr w:type="spellStart"/>
          <w:r w:rsidR="0073084C">
            <w:t>Jabayolas</w:t>
          </w:r>
          <w:proofErr w:type="spellEnd"/>
          <w:r w:rsidR="0073084C">
            <w:t xml:space="preserve"> (1066,7%). </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115A34" w:rsidP="00452FBF">
          <w:pPr>
            <w:jc w:val="center"/>
          </w:pPr>
          <w:r>
            <w:pict>
              <v:shape id="_x0000_i1029" type="#_x0000_t75" style="width:366.4pt;height:516.8pt">
                <v:imagedata r:id="rId40" o:title="envej_paro"/>
              </v:shape>
            </w:pict>
          </w:r>
        </w:p>
        <w:p w:rsidR="00731030" w:rsidRDefault="005C032F" w:rsidP="00DA6CCE">
          <w:pPr>
            <w:jc w:val="both"/>
          </w:pPr>
          <w:r>
            <w:tab/>
            <w:t xml:space="preserve">En este primer mapa lo que encontramos es como a primera vista vemos que los lugares donde las tasas de envejecimiento son superiores muestran unas tasas de paro más bajas, lo cual es lógico ya que, el rasgo del envejecimiento implica población con edades altas, </w:t>
          </w:r>
          <w:r>
            <w:lastRenderedPageBreak/>
            <w:t>de los 65 en adelante, donde prácticamente el total poblacional ya está jubilado y evidentemente el paro apenas existe</w:t>
          </w:r>
          <w:r w:rsidR="00AB3ED5">
            <w:t>.</w:t>
          </w:r>
          <w:r w:rsidR="00D1226C">
            <w:t xml:space="preserve"> Es cierto que esta afirmación no se cumple para el caso de Monterde de Albarracín donde podemos apreciar que el envejecimiento de su población es elevado y la tasa de paro también lo es.</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115A34" w:rsidP="00452FBF">
          <w:pPr>
            <w:jc w:val="center"/>
          </w:pPr>
          <w:r>
            <w:pict>
              <v:shape id="_x0000_i1030" type="#_x0000_t75" style="width:424.8pt;height:534.4pt">
                <v:imagedata r:id="rId41" o:title="tasamas_envej"/>
              </v:shape>
            </w:pict>
          </w:r>
        </w:p>
        <w:p w:rsidR="005C032F" w:rsidRDefault="005C032F" w:rsidP="00DA6CCE">
          <w:pPr>
            <w:jc w:val="both"/>
          </w:pPr>
          <w:r>
            <w:tab/>
            <w:t xml:space="preserve">Al representar los valores de las variables en el mapa vemos como prácticamente las tasas de masculinidad </w:t>
          </w:r>
          <w:r w:rsidR="00923EF1">
            <w:t xml:space="preserve">son muy parecidas en todos los lugares y, aunque se reducen algo en </w:t>
          </w:r>
          <w:r w:rsidR="00923EF1">
            <w:lastRenderedPageBreak/>
            <w:t>aquellos municipios donde el índice de envejecimiento es menor, no podemos decir que exista una relación significativa  entre ambas variables.</w:t>
          </w: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115A34" w:rsidP="00CE6A13">
          <w:pPr>
            <w:ind w:firstLine="426"/>
            <w:jc w:val="center"/>
          </w:pPr>
          <w:r>
            <w:rPr>
              <w:noProof/>
              <w:lang w:eastAsia="es-ES"/>
            </w:rPr>
            <w:pict>
              <v:shape id="_x0000_i1031" type="#_x0000_t75" style="width:380pt;height:471.2pt">
                <v:imagedata r:id="rId42" o:title="%ACTIVIDADES_eCONOM"/>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w:t>
          </w:r>
          <w:r w:rsidR="009611AC">
            <w:t>SIADER</w:t>
          </w:r>
          <w:r w:rsidR="00BA3F5E">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w:t>
          </w:r>
          <w:r>
            <w:lastRenderedPageBreak/>
            <w:t xml:space="preserve">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115A34" w:rsidP="00DA6CCE">
          <w:pPr>
            <w:ind w:firstLine="284"/>
            <w:jc w:val="center"/>
          </w:pPr>
          <w:r>
            <w:pict>
              <v:shape id="_x0000_i1032" type="#_x0000_t75" style="width:447.2pt;height:572pt">
                <v:imagedata r:id="rId43" o:title="tasaparo_densidad"/>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 xml:space="preserve">Como vemos en el mapa anterior la densidad sí que se trata de una variable que influye en la cantidad de paro en un determinado lugar. Lo cual hace lógicamente que, como podemos observar, sean aquellos municipios donde </w:t>
          </w:r>
          <w:r w:rsidR="00F6732C">
            <w:lastRenderedPageBreak/>
            <w:t>la densidad sea más baja los lugares donde la tasa de paro sea menor que en el resto.</w:t>
          </w:r>
          <w:r w:rsidR="00EB7E4E">
            <w:t xml:space="preserve"> </w:t>
          </w:r>
          <w:r w:rsidR="00D1226C">
            <w:t xml:space="preserve">Albarracín (17,88%), Orihuela del Tremedal (15,13%), Gea de Albarracín (8,25%), </w:t>
          </w:r>
          <w:proofErr w:type="spellStart"/>
          <w:r w:rsidR="00D1226C">
            <w:t>Bronchales</w:t>
          </w:r>
          <w:proofErr w:type="spellEnd"/>
          <w:r w:rsidR="00D1226C">
            <w:t xml:space="preserve"> (7,33%) y </w:t>
          </w:r>
          <w:proofErr w:type="spellStart"/>
          <w:r w:rsidR="00D1226C">
            <w:t>Guadalaviar</w:t>
          </w:r>
          <w:proofErr w:type="spellEnd"/>
          <w:r w:rsidR="00D1226C">
            <w:t xml:space="preserve"> (6,42%)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w:t>
          </w:r>
          <w:r w:rsidR="00851169">
            <w:t>A</w:t>
          </w:r>
          <w:r w:rsidR="00D1226C">
            <w:t>SIADER</w:t>
          </w:r>
          <w:r w:rsidR="00EB7E4E">
            <w:t xml:space="preserve">. </w:t>
          </w:r>
        </w:p>
        <w:p w:rsidR="005047FE" w:rsidRDefault="00DA6CCE" w:rsidP="00DA6CCE">
          <w:pPr>
            <w:ind w:firstLine="284"/>
            <w:jc w:val="both"/>
          </w:pPr>
          <w:r>
            <w:t>Pero, más allá de lo que sería conocer la tasa de paro total sobre la densidad de población en el grupo A</w:t>
          </w:r>
          <w:r w:rsidR="00D1226C">
            <w:t>SIADER</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115A34" w:rsidP="00452FBF">
      <w:pPr>
        <w:jc w:val="center"/>
      </w:pPr>
      <w:r>
        <w:pict>
          <v:shape id="_x0000_i1033" type="#_x0000_t75" style="width:350.4pt;height:496pt">
            <v:imagedata r:id="rId44" o:title="densi_tasaparohommuj"/>
          </v:shape>
        </w:pict>
      </w:r>
    </w:p>
    <w:p w:rsidR="00452FBF" w:rsidRDefault="00452FBF" w:rsidP="00452FBF">
      <w:pPr>
        <w:jc w:val="both"/>
      </w:pPr>
      <w:r>
        <w:tab/>
        <w:t xml:space="preserve">En este caso vemos como al establecer la diferenciación en el paro de hombres y mujeres encontramos </w:t>
      </w:r>
      <w:r w:rsidR="00B636B4">
        <w:t>como la mayor parte de los municipios presen</w:t>
      </w:r>
      <w:r w:rsidR="00D1226C">
        <w:t xml:space="preserve">tan cifras de paro bastante diversas ya que podemos encontrar casos de municipios donde el paro es mayoritario </w:t>
      </w:r>
      <w:r w:rsidR="00D1226C">
        <w:lastRenderedPageBreak/>
        <w:t>en hombres y viceversa además de municipios donde tan solo existe paro en mujeres o viceversa.</w:t>
      </w:r>
    </w:p>
    <w:p w:rsidR="00A954F5" w:rsidRDefault="00A954F5" w:rsidP="00A954F5">
      <w:pPr>
        <w:ind w:firstLine="708"/>
        <w:jc w:val="both"/>
      </w:pPr>
      <w:r>
        <w:t xml:space="preserve">En cuanto a la tasa de feminidad respecto a la tasa de paro en mujeres, podemos ver como en el mapa apenas se aprecian áreas con tasas de paro elevadas en mujeres a excepción del caso de  </w:t>
      </w:r>
      <w:r w:rsidR="00D1226C">
        <w:t>Orihuela del Tremedal (7,33%), Albarracín (</w:t>
      </w:r>
      <w:r w:rsidR="00BF1814">
        <w:t>6,88%</w:t>
      </w:r>
      <w:r w:rsidR="00D1226C">
        <w:t xml:space="preserve">) y </w:t>
      </w:r>
      <w:proofErr w:type="spellStart"/>
      <w:r w:rsidR="00D1226C">
        <w:t>Bronchales</w:t>
      </w:r>
      <w:proofErr w:type="spellEnd"/>
      <w:r w:rsidR="00D1226C">
        <w:t xml:space="preserve"> (</w:t>
      </w:r>
      <w:r w:rsidR="00BF1814">
        <w:t>5,04%</w:t>
      </w:r>
      <w:r w:rsidR="00D1226C">
        <w:t>).</w:t>
      </w:r>
    </w:p>
    <w:p w:rsidR="00B522B6" w:rsidRDefault="00115A34" w:rsidP="006C1ADA">
      <w:pPr>
        <w:jc w:val="center"/>
      </w:pPr>
      <w:r>
        <w:pict>
          <v:shape id="_x0000_i1034" type="#_x0000_t75" style="width:424.8pt;height:588pt">
            <v:imagedata r:id="rId45" o:title="FEMINIDAD_PAROMUJ"/>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r w:rsidR="00BF1814">
        <w:t>Albarracín (11%) y Orihuela del Tremedal (7,79%).</w:t>
      </w:r>
    </w:p>
    <w:p w:rsidR="006958DB" w:rsidRDefault="00115A34" w:rsidP="007C3A15">
      <w:pPr>
        <w:jc w:val="center"/>
      </w:pPr>
      <w:r>
        <w:pict>
          <v:shape id="_x0000_i1035" type="#_x0000_t75" style="width:424.8pt;height:600.8pt">
            <v:imagedata r:id="rId46" o:title="tasamasc_parohom"/>
          </v:shape>
        </w:pict>
      </w:r>
    </w:p>
    <w:p w:rsidR="0010130B" w:rsidRDefault="0010130B" w:rsidP="00591C12"/>
    <w:p w:rsidR="006E4407" w:rsidRDefault="0010130B" w:rsidP="00A744E6">
      <w:pPr>
        <w:ind w:firstLine="993"/>
        <w:jc w:val="both"/>
      </w:pPr>
      <w:r>
        <w:t xml:space="preserve">Otra última relación que nos resultó interesante a la hora de realizar el análisis sobre </w:t>
      </w:r>
      <w:r w:rsidR="001F60B6">
        <w:t>la tasa de paro en el grupo A</w:t>
      </w:r>
      <w:r w:rsidR="00B83F8E">
        <w:t>SIADER</w:t>
      </w:r>
      <w:r w:rsidR="00A51B0F">
        <w:t xml:space="preserve"> </w:t>
      </w:r>
      <w:r>
        <w:t>fue la del paro total y la tasa de masculinidad</w:t>
      </w:r>
      <w:r w:rsidRPr="0010130B">
        <w:t xml:space="preserve"> </w:t>
      </w:r>
      <w:r w:rsidR="00A744E6">
        <w:t xml:space="preserve">de cada </w:t>
      </w:r>
      <w:r>
        <w:t xml:space="preserve">municipio. </w:t>
      </w:r>
    </w:p>
    <w:p w:rsidR="0010130B" w:rsidRDefault="00115A34" w:rsidP="00920468">
      <w:pPr>
        <w:ind w:firstLine="567"/>
        <w:jc w:val="both"/>
      </w:pPr>
      <w:r>
        <w:pict>
          <v:shape id="_x0000_i1036" type="#_x0000_t75" style="width:424.8pt;height:580pt">
            <v:imagedata r:id="rId47" o:title="paro_masculinidad"/>
          </v:shape>
        </w:pict>
      </w:r>
    </w:p>
    <w:p w:rsidR="00A51B0F" w:rsidRDefault="0010130B" w:rsidP="00600947">
      <w:pPr>
        <w:ind w:firstLine="708"/>
        <w:jc w:val="both"/>
      </w:pPr>
      <w:r>
        <w:t xml:space="preserve">Al relacionar estas variables observamos como las áreas con una tasa de masculinidad </w:t>
      </w:r>
      <w:r w:rsidR="00A51B0F">
        <w:t>media-alta o incluso alta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115A34" w:rsidP="001F60B6">
      <w:pPr>
        <w:jc w:val="both"/>
      </w:pPr>
      <w:r>
        <w:pict>
          <v:shape id="_x0000_i1037" type="#_x0000_t75" style="width:403.2pt;height:571.2pt">
            <v:imagedata r:id="rId48" o:title="densi_altassshomymuj"/>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600947">
        <w:t xml:space="preserve"> excepto Torrijas y Abejuela.</w:t>
      </w:r>
      <w:r w:rsidR="00B83F8E">
        <w:t xml:space="preserve"> A excepción de: Albarracín, Alobras, Calomarde y Gea de Albarracín.</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9DE" w:rsidRDefault="009B39DE" w:rsidP="005047FE">
      <w:pPr>
        <w:spacing w:after="0" w:line="240" w:lineRule="auto"/>
      </w:pPr>
      <w:r>
        <w:separator/>
      </w:r>
    </w:p>
  </w:endnote>
  <w:endnote w:type="continuationSeparator" w:id="0">
    <w:p w:rsidR="009B39DE" w:rsidRDefault="009B39DE"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C1745C" w:rsidRPr="00C1745C">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C1745C" w:rsidRPr="00C1745C">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9DE" w:rsidRDefault="009B39DE" w:rsidP="005047FE">
      <w:pPr>
        <w:spacing w:after="0" w:line="240" w:lineRule="auto"/>
      </w:pPr>
      <w:r>
        <w:separator/>
      </w:r>
    </w:p>
  </w:footnote>
  <w:footnote w:type="continuationSeparator" w:id="0">
    <w:p w:rsidR="009B39DE" w:rsidRDefault="009B39DE"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17562E" w:rsidP="00CD1578">
              <w:pPr>
                <w:pStyle w:val="Encabezado"/>
                <w:jc w:val="center"/>
                <w:rPr>
                  <w:caps/>
                  <w:color w:val="FFFFFF" w:themeColor="background1"/>
                </w:rPr>
              </w:pPr>
              <w:r>
                <w:rPr>
                  <w:caps/>
                  <w:color w:val="FFFFFF" w:themeColor="background1"/>
                </w:rPr>
                <w:t xml:space="preserve">Caracterización territorial de Sierra de Albarracín. Asociación para el Desarrollo Rural Integral de la Sierra de Albarracín.  </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70D7B"/>
    <w:rsid w:val="000725D3"/>
    <w:rsid w:val="00077359"/>
    <w:rsid w:val="000A6D47"/>
    <w:rsid w:val="000B4043"/>
    <w:rsid w:val="000B686B"/>
    <w:rsid w:val="000E2003"/>
    <w:rsid w:val="000E24E8"/>
    <w:rsid w:val="0010130B"/>
    <w:rsid w:val="00106908"/>
    <w:rsid w:val="0011532C"/>
    <w:rsid w:val="00115A34"/>
    <w:rsid w:val="00122850"/>
    <w:rsid w:val="00162BD4"/>
    <w:rsid w:val="00172F65"/>
    <w:rsid w:val="00173249"/>
    <w:rsid w:val="0017562E"/>
    <w:rsid w:val="00183475"/>
    <w:rsid w:val="00187242"/>
    <w:rsid w:val="0018743C"/>
    <w:rsid w:val="00190C45"/>
    <w:rsid w:val="00191788"/>
    <w:rsid w:val="00195345"/>
    <w:rsid w:val="001F60B6"/>
    <w:rsid w:val="0020383E"/>
    <w:rsid w:val="0022169C"/>
    <w:rsid w:val="00226733"/>
    <w:rsid w:val="00247F9F"/>
    <w:rsid w:val="00264FE6"/>
    <w:rsid w:val="002655BE"/>
    <w:rsid w:val="00273C95"/>
    <w:rsid w:val="002748A7"/>
    <w:rsid w:val="0027612C"/>
    <w:rsid w:val="00286287"/>
    <w:rsid w:val="00286C91"/>
    <w:rsid w:val="00287406"/>
    <w:rsid w:val="002A1ADA"/>
    <w:rsid w:val="002C3354"/>
    <w:rsid w:val="002D6CE0"/>
    <w:rsid w:val="002E0141"/>
    <w:rsid w:val="002E3D44"/>
    <w:rsid w:val="003022EF"/>
    <w:rsid w:val="00306056"/>
    <w:rsid w:val="003431C8"/>
    <w:rsid w:val="00347641"/>
    <w:rsid w:val="003729DC"/>
    <w:rsid w:val="00384351"/>
    <w:rsid w:val="003A36B8"/>
    <w:rsid w:val="003B3FA0"/>
    <w:rsid w:val="003D4E91"/>
    <w:rsid w:val="003E0431"/>
    <w:rsid w:val="004015F0"/>
    <w:rsid w:val="004105C6"/>
    <w:rsid w:val="00416E44"/>
    <w:rsid w:val="00424122"/>
    <w:rsid w:val="00425194"/>
    <w:rsid w:val="00452FBF"/>
    <w:rsid w:val="00460D1F"/>
    <w:rsid w:val="004722D5"/>
    <w:rsid w:val="004B1F14"/>
    <w:rsid w:val="004E34E8"/>
    <w:rsid w:val="00502CCF"/>
    <w:rsid w:val="005047FE"/>
    <w:rsid w:val="005270C3"/>
    <w:rsid w:val="00533C22"/>
    <w:rsid w:val="00565BB1"/>
    <w:rsid w:val="00591C12"/>
    <w:rsid w:val="00592215"/>
    <w:rsid w:val="005A5F81"/>
    <w:rsid w:val="005B7974"/>
    <w:rsid w:val="005C032F"/>
    <w:rsid w:val="005C7A73"/>
    <w:rsid w:val="005D76AA"/>
    <w:rsid w:val="005E1E26"/>
    <w:rsid w:val="005F081D"/>
    <w:rsid w:val="005F110C"/>
    <w:rsid w:val="005F2FC9"/>
    <w:rsid w:val="00600947"/>
    <w:rsid w:val="006032D4"/>
    <w:rsid w:val="00625167"/>
    <w:rsid w:val="006256A1"/>
    <w:rsid w:val="00641D40"/>
    <w:rsid w:val="0064433B"/>
    <w:rsid w:val="00660D14"/>
    <w:rsid w:val="006622A5"/>
    <w:rsid w:val="00677B14"/>
    <w:rsid w:val="006958DB"/>
    <w:rsid w:val="00695C58"/>
    <w:rsid w:val="0069616A"/>
    <w:rsid w:val="0069681C"/>
    <w:rsid w:val="006A183E"/>
    <w:rsid w:val="006C1ADA"/>
    <w:rsid w:val="006D7F6B"/>
    <w:rsid w:val="006E4407"/>
    <w:rsid w:val="006F1599"/>
    <w:rsid w:val="006F2D85"/>
    <w:rsid w:val="006F376E"/>
    <w:rsid w:val="00716F00"/>
    <w:rsid w:val="0073084C"/>
    <w:rsid w:val="00731030"/>
    <w:rsid w:val="007344D7"/>
    <w:rsid w:val="00737319"/>
    <w:rsid w:val="00746BD5"/>
    <w:rsid w:val="00753A60"/>
    <w:rsid w:val="0076505F"/>
    <w:rsid w:val="0077413A"/>
    <w:rsid w:val="007A3D6C"/>
    <w:rsid w:val="007B3C43"/>
    <w:rsid w:val="007C3A15"/>
    <w:rsid w:val="00806846"/>
    <w:rsid w:val="008222AC"/>
    <w:rsid w:val="008274D8"/>
    <w:rsid w:val="00840B45"/>
    <w:rsid w:val="00851169"/>
    <w:rsid w:val="008836D8"/>
    <w:rsid w:val="0089418C"/>
    <w:rsid w:val="0089728B"/>
    <w:rsid w:val="008A75C4"/>
    <w:rsid w:val="008D4C33"/>
    <w:rsid w:val="008E143A"/>
    <w:rsid w:val="008E5F23"/>
    <w:rsid w:val="008E7AAF"/>
    <w:rsid w:val="008F1315"/>
    <w:rsid w:val="00906EF5"/>
    <w:rsid w:val="00920468"/>
    <w:rsid w:val="00923EF1"/>
    <w:rsid w:val="00924E6A"/>
    <w:rsid w:val="0092710E"/>
    <w:rsid w:val="00934ACD"/>
    <w:rsid w:val="00947CA6"/>
    <w:rsid w:val="009508AE"/>
    <w:rsid w:val="009611AC"/>
    <w:rsid w:val="009704C6"/>
    <w:rsid w:val="00974B32"/>
    <w:rsid w:val="00987370"/>
    <w:rsid w:val="009959FE"/>
    <w:rsid w:val="009A6AF4"/>
    <w:rsid w:val="009B39DE"/>
    <w:rsid w:val="009C0390"/>
    <w:rsid w:val="009C4330"/>
    <w:rsid w:val="009D7D21"/>
    <w:rsid w:val="009E04F8"/>
    <w:rsid w:val="009F21D0"/>
    <w:rsid w:val="00A06A74"/>
    <w:rsid w:val="00A153AD"/>
    <w:rsid w:val="00A51B0F"/>
    <w:rsid w:val="00A744E6"/>
    <w:rsid w:val="00A84D47"/>
    <w:rsid w:val="00A870E9"/>
    <w:rsid w:val="00A954F5"/>
    <w:rsid w:val="00AB3ED5"/>
    <w:rsid w:val="00AD3651"/>
    <w:rsid w:val="00AE2FAD"/>
    <w:rsid w:val="00AF7330"/>
    <w:rsid w:val="00B01298"/>
    <w:rsid w:val="00B07BC3"/>
    <w:rsid w:val="00B11D9E"/>
    <w:rsid w:val="00B12E0D"/>
    <w:rsid w:val="00B26632"/>
    <w:rsid w:val="00B30CAE"/>
    <w:rsid w:val="00B32B00"/>
    <w:rsid w:val="00B50C23"/>
    <w:rsid w:val="00B522B6"/>
    <w:rsid w:val="00B55AEC"/>
    <w:rsid w:val="00B56B75"/>
    <w:rsid w:val="00B636B4"/>
    <w:rsid w:val="00B7067C"/>
    <w:rsid w:val="00B8002C"/>
    <w:rsid w:val="00B808EA"/>
    <w:rsid w:val="00B83F8E"/>
    <w:rsid w:val="00B96BF7"/>
    <w:rsid w:val="00BA3F5E"/>
    <w:rsid w:val="00BB47F5"/>
    <w:rsid w:val="00BB78C6"/>
    <w:rsid w:val="00BC4612"/>
    <w:rsid w:val="00BD5C8F"/>
    <w:rsid w:val="00BD6D8D"/>
    <w:rsid w:val="00BE4020"/>
    <w:rsid w:val="00BE5550"/>
    <w:rsid w:val="00BF1814"/>
    <w:rsid w:val="00C1745C"/>
    <w:rsid w:val="00C22CED"/>
    <w:rsid w:val="00C33F8E"/>
    <w:rsid w:val="00C434E8"/>
    <w:rsid w:val="00C45E03"/>
    <w:rsid w:val="00C47ACF"/>
    <w:rsid w:val="00C6493A"/>
    <w:rsid w:val="00C85969"/>
    <w:rsid w:val="00CD1578"/>
    <w:rsid w:val="00CE55AE"/>
    <w:rsid w:val="00CE6A13"/>
    <w:rsid w:val="00CE7FA3"/>
    <w:rsid w:val="00CF506D"/>
    <w:rsid w:val="00D1226C"/>
    <w:rsid w:val="00D139A2"/>
    <w:rsid w:val="00D16764"/>
    <w:rsid w:val="00D2402F"/>
    <w:rsid w:val="00D37867"/>
    <w:rsid w:val="00D73EFB"/>
    <w:rsid w:val="00D9368B"/>
    <w:rsid w:val="00DA02BE"/>
    <w:rsid w:val="00DA0DF8"/>
    <w:rsid w:val="00DA6CCE"/>
    <w:rsid w:val="00DB2C44"/>
    <w:rsid w:val="00DB3992"/>
    <w:rsid w:val="00DC45B6"/>
    <w:rsid w:val="00DF3584"/>
    <w:rsid w:val="00DF3ECE"/>
    <w:rsid w:val="00E278F1"/>
    <w:rsid w:val="00E44EC7"/>
    <w:rsid w:val="00E52453"/>
    <w:rsid w:val="00E57B3A"/>
    <w:rsid w:val="00E643A6"/>
    <w:rsid w:val="00E66DCA"/>
    <w:rsid w:val="00E73376"/>
    <w:rsid w:val="00E7420F"/>
    <w:rsid w:val="00E753DC"/>
    <w:rsid w:val="00E81C69"/>
    <w:rsid w:val="00E87CD9"/>
    <w:rsid w:val="00EA5905"/>
    <w:rsid w:val="00EB7E4E"/>
    <w:rsid w:val="00EC5221"/>
    <w:rsid w:val="00EE4D4D"/>
    <w:rsid w:val="00EE76FE"/>
    <w:rsid w:val="00EF445D"/>
    <w:rsid w:val="00F00975"/>
    <w:rsid w:val="00F06D75"/>
    <w:rsid w:val="00F227F3"/>
    <w:rsid w:val="00F34F01"/>
    <w:rsid w:val="00F36D27"/>
    <w:rsid w:val="00F54164"/>
    <w:rsid w:val="00F6732C"/>
    <w:rsid w:val="00F7027F"/>
    <w:rsid w:val="00F74E34"/>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Hipervnculo">
    <w:name w:val="Hyperlink"/>
    <w:basedOn w:val="Fuentedeprrafopredeter"/>
    <w:uiPriority w:val="99"/>
    <w:semiHidden/>
    <w:unhideWhenUsed/>
    <w:rsid w:val="001756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Hipervnculo">
    <w:name w:val="Hyperlink"/>
    <w:basedOn w:val="Fuentedeprrafopredeter"/>
    <w:uiPriority w:val="99"/>
    <w:semiHidden/>
    <w:unhideWhenUsed/>
    <w:rsid w:val="001756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(ASIADER)</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1.2168362258128866E-2</c:v>
                </c:pt>
                <c:pt idx="1">
                  <c:v>1.5559545182525433E-2</c:v>
                </c:pt>
                <c:pt idx="2">
                  <c:v>1.4961101137043686E-2</c:v>
                </c:pt>
                <c:pt idx="3">
                  <c:v>1.8352284061440256E-2</c:v>
                </c:pt>
                <c:pt idx="4">
                  <c:v>2.194294833433074E-2</c:v>
                </c:pt>
                <c:pt idx="5">
                  <c:v>1.9549172152403749E-2</c:v>
                </c:pt>
                <c:pt idx="6">
                  <c:v>2.4935168561739478E-2</c:v>
                </c:pt>
                <c:pt idx="7">
                  <c:v>2.4935168561739478E-2</c:v>
                </c:pt>
                <c:pt idx="8">
                  <c:v>2.6730500698184719E-2</c:v>
                </c:pt>
                <c:pt idx="9">
                  <c:v>3.052064631956912E-2</c:v>
                </c:pt>
                <c:pt idx="10">
                  <c:v>3.6106124077398764E-2</c:v>
                </c:pt>
                <c:pt idx="11">
                  <c:v>2.1743466985836825E-2</c:v>
                </c:pt>
                <c:pt idx="12">
                  <c:v>2.4536205864751647E-2</c:v>
                </c:pt>
                <c:pt idx="13">
                  <c:v>2.6331538001196888E-2</c:v>
                </c:pt>
                <c:pt idx="14">
                  <c:v>2.6331538001196888E-2</c:v>
                </c:pt>
                <c:pt idx="15">
                  <c:v>3.6106124077398764E-2</c:v>
                </c:pt>
                <c:pt idx="16">
                  <c:v>3.5507680031917017E-2</c:v>
                </c:pt>
                <c:pt idx="17">
                  <c:v>2.2541392379812487E-2</c:v>
                </c:pt>
                <c:pt idx="18">
                  <c:v>8.3782166367444635E-3</c:v>
                </c:pt>
                <c:pt idx="19">
                  <c:v>3.3911829243965688E-3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-1.815280271294634E-2</c:v>
                </c:pt>
                <c:pt idx="1">
                  <c:v>-1.3165769000598444E-2</c:v>
                </c:pt>
                <c:pt idx="2">
                  <c:v>-1.4362657091561939E-2</c:v>
                </c:pt>
                <c:pt idx="3">
                  <c:v>-2.194294833433074E-2</c:v>
                </c:pt>
                <c:pt idx="4">
                  <c:v>-2.6132056652702972E-2</c:v>
                </c:pt>
                <c:pt idx="5">
                  <c:v>-2.8326351486136048E-2</c:v>
                </c:pt>
                <c:pt idx="6">
                  <c:v>-3.3313385198483939E-2</c:v>
                </c:pt>
                <c:pt idx="7">
                  <c:v>-3.6106124077398764E-2</c:v>
                </c:pt>
                <c:pt idx="8">
                  <c:v>-4.2689008577697987E-2</c:v>
                </c:pt>
                <c:pt idx="9">
                  <c:v>-4.7875523638539794E-2</c:v>
                </c:pt>
                <c:pt idx="10">
                  <c:v>-4.927189307799721E-2</c:v>
                </c:pt>
                <c:pt idx="11">
                  <c:v>-3.630560542589268E-2</c:v>
                </c:pt>
                <c:pt idx="12">
                  <c:v>-3.052064631956912E-2</c:v>
                </c:pt>
                <c:pt idx="13">
                  <c:v>-3.0121683622581288E-2</c:v>
                </c:pt>
                <c:pt idx="14">
                  <c:v>-3.0121683622581288E-2</c:v>
                </c:pt>
                <c:pt idx="15">
                  <c:v>-3.2914422501496107E-2</c:v>
                </c:pt>
                <c:pt idx="16">
                  <c:v>-2.9722720925593457E-2</c:v>
                </c:pt>
                <c:pt idx="17">
                  <c:v>-2.1344504288848994E-2</c:v>
                </c:pt>
                <c:pt idx="18">
                  <c:v>-5.3859964093357273E-3</c:v>
                </c:pt>
                <c:pt idx="19">
                  <c:v>-1.5958507879513266E-3</c:v>
                </c:pt>
              </c:numCache>
            </c:numRef>
          </c:val>
        </c:ser>
        <c:dLbls>
          <c:showLegendKey val="0"/>
          <c:showVal val="0"/>
          <c:showCatName val="0"/>
          <c:showSerName val="0"/>
          <c:showPercent val="0"/>
          <c:showBubbleSize val="0"/>
        </c:dLbls>
        <c:gapWidth val="150"/>
        <c:axId val="118882304"/>
        <c:axId val="96859776"/>
      </c:barChart>
      <c:catAx>
        <c:axId val="118882304"/>
        <c:scaling>
          <c:orientation val="minMax"/>
        </c:scaling>
        <c:delete val="0"/>
        <c:axPos val="l"/>
        <c:majorTickMark val="out"/>
        <c:minorTickMark val="none"/>
        <c:tickLblPos val="low"/>
        <c:crossAx val="96859776"/>
        <c:crosses val="autoZero"/>
        <c:auto val="1"/>
        <c:lblAlgn val="ctr"/>
        <c:lblOffset val="100"/>
        <c:noMultiLvlLbl val="0"/>
      </c:catAx>
      <c:valAx>
        <c:axId val="96859776"/>
        <c:scaling>
          <c:orientation val="minMax"/>
        </c:scaling>
        <c:delete val="1"/>
        <c:axPos val="b"/>
        <c:majorGridlines/>
        <c:numFmt formatCode="General" sourceLinked="1"/>
        <c:majorTickMark val="out"/>
        <c:minorTickMark val="none"/>
        <c:tickLblPos val="nextTo"/>
        <c:crossAx val="11888230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ASIADER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6.769159316581877E-2"/>
          <c:y val="0.11585397963789557"/>
          <c:w val="0.90827782245406108"/>
          <c:h val="0.63995968955313709"/>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3</c:v>
                </c:pt>
                <c:pt idx="1">
                  <c:v>33</c:v>
                </c:pt>
                <c:pt idx="2">
                  <c:v>71</c:v>
                </c:pt>
                <c:pt idx="3">
                  <c:v>58</c:v>
                </c:pt>
                <c:pt idx="4">
                  <c:v>75</c:v>
                </c:pt>
                <c:pt idx="5">
                  <c:v>89</c:v>
                </c:pt>
                <c:pt idx="6">
                  <c:v>109</c:v>
                </c:pt>
                <c:pt idx="7">
                  <c:v>120</c:v>
                </c:pt>
                <c:pt idx="8">
                  <c:v>85</c:v>
                </c:pt>
                <c:pt idx="9">
                  <c:v>47</c:v>
                </c:pt>
                <c:pt idx="10">
                  <c:v>4</c:v>
                </c:pt>
                <c:pt idx="11">
                  <c:v>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1">
                  <c:v>24</c:v>
                </c:pt>
                <c:pt idx="2">
                  <c:v>41</c:v>
                </c:pt>
                <c:pt idx="3">
                  <c:v>44</c:v>
                </c:pt>
                <c:pt idx="4">
                  <c:v>46</c:v>
                </c:pt>
                <c:pt idx="5">
                  <c:v>72</c:v>
                </c:pt>
                <c:pt idx="6">
                  <c:v>71</c:v>
                </c:pt>
                <c:pt idx="7">
                  <c:v>78</c:v>
                </c:pt>
                <c:pt idx="8">
                  <c:v>72</c:v>
                </c:pt>
                <c:pt idx="9">
                  <c:v>42</c:v>
                </c:pt>
                <c:pt idx="10">
                  <c:v>3</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3</c:v>
                </c:pt>
                <c:pt idx="1">
                  <c:v>57</c:v>
                </c:pt>
                <c:pt idx="2">
                  <c:v>112</c:v>
                </c:pt>
                <c:pt idx="3">
                  <c:v>102</c:v>
                </c:pt>
                <c:pt idx="4">
                  <c:v>121</c:v>
                </c:pt>
                <c:pt idx="5">
                  <c:v>161</c:v>
                </c:pt>
                <c:pt idx="6">
                  <c:v>180</c:v>
                </c:pt>
                <c:pt idx="7">
                  <c:v>198</c:v>
                </c:pt>
                <c:pt idx="8">
                  <c:v>157</c:v>
                </c:pt>
                <c:pt idx="9">
                  <c:v>89</c:v>
                </c:pt>
                <c:pt idx="10">
                  <c:v>7</c:v>
                </c:pt>
                <c:pt idx="11">
                  <c:v>2</c:v>
                </c:pt>
              </c:numCache>
            </c:numRef>
          </c:val>
        </c:ser>
        <c:dLbls>
          <c:showLegendKey val="0"/>
          <c:showVal val="0"/>
          <c:showCatName val="0"/>
          <c:showSerName val="0"/>
          <c:showPercent val="0"/>
          <c:showBubbleSize val="0"/>
        </c:dLbls>
        <c:gapWidth val="150"/>
        <c:axId val="120244736"/>
        <c:axId val="120278976"/>
      </c:barChart>
      <c:catAx>
        <c:axId val="120244736"/>
        <c:scaling>
          <c:orientation val="minMax"/>
        </c:scaling>
        <c:delete val="0"/>
        <c:axPos val="b"/>
        <c:majorTickMark val="out"/>
        <c:minorTickMark val="none"/>
        <c:tickLblPos val="nextTo"/>
        <c:crossAx val="120278976"/>
        <c:crosses val="autoZero"/>
        <c:auto val="1"/>
        <c:lblAlgn val="ctr"/>
        <c:lblOffset val="100"/>
        <c:noMultiLvlLbl val="0"/>
      </c:catAx>
      <c:valAx>
        <c:axId val="120278976"/>
        <c:scaling>
          <c:orientation val="minMax"/>
        </c:scaling>
        <c:delete val="0"/>
        <c:axPos val="l"/>
        <c:majorGridlines/>
        <c:numFmt formatCode="General" sourceLinked="1"/>
        <c:majorTickMark val="out"/>
        <c:minorTickMark val="none"/>
        <c:tickLblPos val="nextTo"/>
        <c:crossAx val="1202447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ASIADER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7010871045963552E-2"/>
          <c:y val="0.12425870752642407"/>
          <c:w val="0.90920020161839632"/>
          <c:h val="0.64548751507412927"/>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4</c:v>
                </c:pt>
                <c:pt idx="1">
                  <c:v>32</c:v>
                </c:pt>
                <c:pt idx="2">
                  <c:v>71</c:v>
                </c:pt>
                <c:pt idx="3">
                  <c:v>62</c:v>
                </c:pt>
                <c:pt idx="4">
                  <c:v>78</c:v>
                </c:pt>
                <c:pt idx="5">
                  <c:v>94</c:v>
                </c:pt>
                <c:pt idx="6">
                  <c:v>107</c:v>
                </c:pt>
                <c:pt idx="7">
                  <c:v>123</c:v>
                </c:pt>
                <c:pt idx="8">
                  <c:v>85</c:v>
                </c:pt>
                <c:pt idx="9">
                  <c:v>46</c:v>
                </c:pt>
                <c:pt idx="10">
                  <c:v>4</c:v>
                </c:pt>
                <c:pt idx="11">
                  <c:v>2</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2</c:v>
                </c:pt>
                <c:pt idx="1">
                  <c:v>18</c:v>
                </c:pt>
                <c:pt idx="2">
                  <c:v>41</c:v>
                </c:pt>
                <c:pt idx="3">
                  <c:v>44</c:v>
                </c:pt>
                <c:pt idx="4">
                  <c:v>54</c:v>
                </c:pt>
                <c:pt idx="5">
                  <c:v>66</c:v>
                </c:pt>
                <c:pt idx="6">
                  <c:v>78</c:v>
                </c:pt>
                <c:pt idx="7">
                  <c:v>77</c:v>
                </c:pt>
                <c:pt idx="8">
                  <c:v>69</c:v>
                </c:pt>
                <c:pt idx="9">
                  <c:v>39</c:v>
                </c:pt>
                <c:pt idx="10">
                  <c:v>3</c:v>
                </c:pt>
              </c:numCache>
            </c:numRef>
          </c:val>
        </c:ser>
        <c:dLbls>
          <c:showLegendKey val="0"/>
          <c:showVal val="0"/>
          <c:showCatName val="0"/>
          <c:showSerName val="0"/>
          <c:showPercent val="0"/>
          <c:showBubbleSize val="0"/>
        </c:dLbls>
        <c:gapWidth val="150"/>
        <c:axId val="120244224"/>
        <c:axId val="120280704"/>
      </c:barChart>
      <c:catAx>
        <c:axId val="120244224"/>
        <c:scaling>
          <c:orientation val="minMax"/>
        </c:scaling>
        <c:delete val="0"/>
        <c:axPos val="b"/>
        <c:majorTickMark val="out"/>
        <c:minorTickMark val="none"/>
        <c:tickLblPos val="nextTo"/>
        <c:crossAx val="120280704"/>
        <c:crosses val="autoZero"/>
        <c:auto val="1"/>
        <c:lblAlgn val="ctr"/>
        <c:lblOffset val="100"/>
        <c:noMultiLvlLbl val="0"/>
      </c:catAx>
      <c:valAx>
        <c:axId val="120280704"/>
        <c:scaling>
          <c:orientation val="minMax"/>
        </c:scaling>
        <c:delete val="0"/>
        <c:axPos val="l"/>
        <c:majorGridlines/>
        <c:numFmt formatCode="General" sourceLinked="1"/>
        <c:majorTickMark val="out"/>
        <c:minorTickMark val="none"/>
        <c:tickLblPos val="nextTo"/>
        <c:crossAx val="1202442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2361876640419947"/>
          <c:w val="0.55961609073477214"/>
          <c:h val="0.65672162073490814"/>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ASIADER</c:v>
                  </c:pt>
                </c:lvl>
              </c:multiLvlStrCache>
            </c:multiLvlStrRef>
          </c:cat>
          <c:val>
            <c:numRef>
              <c:f>'Tabla régimen-actividad JUN'!$B$9:$B$11</c:f>
              <c:numCache>
                <c:formatCode>General</c:formatCode>
                <c:ptCount val="2"/>
                <c:pt idx="0">
                  <c:v>183</c:v>
                </c:pt>
                <c:pt idx="1">
                  <c:v>68</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ASIADER</c:v>
                  </c:pt>
                </c:lvl>
              </c:multiLvlStrCache>
            </c:multiLvlStrRef>
          </c:cat>
          <c:val>
            <c:numRef>
              <c:f>'Tabla régimen-actividad JUN'!$C$9:$C$11</c:f>
              <c:numCache>
                <c:formatCode>General</c:formatCode>
                <c:ptCount val="2"/>
                <c:pt idx="0">
                  <c:v>45</c:v>
                </c:pt>
                <c:pt idx="1">
                  <c:v>71</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ASIADER</c:v>
                  </c:pt>
                </c:lvl>
              </c:multiLvlStrCache>
            </c:multiLvlStrRef>
          </c:cat>
          <c:val>
            <c:numRef>
              <c:f>'Tabla régimen-actividad JUN'!$D$9:$D$11</c:f>
              <c:numCache>
                <c:formatCode>General</c:formatCode>
                <c:ptCount val="2"/>
                <c:pt idx="0">
                  <c:v>104</c:v>
                </c:pt>
                <c:pt idx="1">
                  <c:v>72</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ASIADER</c:v>
                  </c:pt>
                </c:lvl>
              </c:multiLvlStrCache>
            </c:multiLvlStrRef>
          </c:cat>
          <c:val>
            <c:numRef>
              <c:f>'Tabla régimen-actividad JUN'!$E$9:$E$11</c:f>
              <c:numCache>
                <c:formatCode>General</c:formatCode>
                <c:ptCount val="2"/>
                <c:pt idx="0">
                  <c:v>246</c:v>
                </c:pt>
                <c:pt idx="1">
                  <c:v>410</c:v>
                </c:pt>
              </c:numCache>
            </c:numRef>
          </c:val>
        </c:ser>
        <c:dLbls>
          <c:showLegendKey val="0"/>
          <c:showVal val="0"/>
          <c:showCatName val="0"/>
          <c:showSerName val="0"/>
          <c:showPercent val="0"/>
          <c:showBubbleSize val="0"/>
        </c:dLbls>
        <c:gapWidth val="150"/>
        <c:shape val="box"/>
        <c:axId val="120245760"/>
        <c:axId val="120282432"/>
        <c:axId val="0"/>
      </c:bar3DChart>
      <c:catAx>
        <c:axId val="120245760"/>
        <c:scaling>
          <c:orientation val="minMax"/>
        </c:scaling>
        <c:delete val="0"/>
        <c:axPos val="b"/>
        <c:majorTickMark val="out"/>
        <c:minorTickMark val="none"/>
        <c:tickLblPos val="nextTo"/>
        <c:crossAx val="120282432"/>
        <c:crosses val="autoZero"/>
        <c:auto val="1"/>
        <c:lblAlgn val="ctr"/>
        <c:lblOffset val="100"/>
        <c:noMultiLvlLbl val="0"/>
      </c:catAx>
      <c:valAx>
        <c:axId val="120282432"/>
        <c:scaling>
          <c:orientation val="minMax"/>
        </c:scaling>
        <c:delete val="0"/>
        <c:axPos val="l"/>
        <c:majorGridlines/>
        <c:numFmt formatCode="General" sourceLinked="1"/>
        <c:majorTickMark val="out"/>
        <c:minorTickMark val="none"/>
        <c:tickLblPos val="nextTo"/>
        <c:crossAx val="120245760"/>
        <c:crosses val="autoZero"/>
        <c:crossBetween val="between"/>
      </c:valAx>
    </c:plotArea>
    <c:legend>
      <c:legendPos val="b"/>
      <c:layout>
        <c:manualLayout>
          <c:xMode val="edge"/>
          <c:yMode val="edge"/>
          <c:x val="0.64510865869745559"/>
          <c:y val="0.19482336667376041"/>
          <c:w val="0.30131981559299909"/>
          <c:h val="0.77983879548840174"/>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7689608747093131E-2"/>
          <c:y val="8.4489754147704016E-2"/>
          <c:w val="0.90935702337725921"/>
          <c:h val="0.6988198006212526"/>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ASIADER</c:v>
                  </c:pt>
                </c:lvl>
              </c:multiLvlStrCache>
            </c:multiLvlStrRef>
          </c:cat>
          <c:val>
            <c:numRef>
              <c:f>'Gráfico altas régimen y sexo'!$C$9:$C$12</c:f>
              <c:numCache>
                <c:formatCode>General</c:formatCode>
                <c:ptCount val="2"/>
                <c:pt idx="0">
                  <c:v>579</c:v>
                </c:pt>
                <c:pt idx="1">
                  <c:v>610</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ASIADER</c:v>
                  </c:pt>
                </c:lvl>
              </c:multiLvlStrCache>
            </c:multiLvlStrRef>
          </c:cat>
          <c:val>
            <c:numRef>
              <c:f>'Gráfico altas régimen y sexo'!$D$9:$D$12</c:f>
              <c:numCache>
                <c:formatCode>General</c:formatCode>
                <c:ptCount val="2"/>
                <c:pt idx="0">
                  <c:v>382</c:v>
                </c:pt>
                <c:pt idx="1">
                  <c:v>314</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ASIADER</c:v>
                  </c:pt>
                </c:lvl>
              </c:multiLvlStrCache>
            </c:multiLvlStrRef>
          </c:cat>
          <c:val>
            <c:numRef>
              <c:f>'Gráfico altas régimen y sexo'!$E$9:$E$12</c:f>
              <c:numCache>
                <c:formatCode>General</c:formatCode>
                <c:ptCount val="2"/>
                <c:pt idx="0">
                  <c:v>197</c:v>
                </c:pt>
                <c:pt idx="1">
                  <c:v>296</c:v>
                </c:pt>
              </c:numCache>
            </c:numRef>
          </c:val>
        </c:ser>
        <c:dLbls>
          <c:showLegendKey val="0"/>
          <c:showVal val="0"/>
          <c:showCatName val="0"/>
          <c:showSerName val="0"/>
          <c:showPercent val="0"/>
          <c:showBubbleSize val="0"/>
        </c:dLbls>
        <c:gapWidth val="150"/>
        <c:shape val="box"/>
        <c:axId val="120484864"/>
        <c:axId val="120407168"/>
        <c:axId val="0"/>
      </c:bar3DChart>
      <c:catAx>
        <c:axId val="120484864"/>
        <c:scaling>
          <c:orientation val="minMax"/>
        </c:scaling>
        <c:delete val="0"/>
        <c:axPos val="b"/>
        <c:majorTickMark val="out"/>
        <c:minorTickMark val="none"/>
        <c:tickLblPos val="nextTo"/>
        <c:crossAx val="120407168"/>
        <c:crosses val="autoZero"/>
        <c:auto val="1"/>
        <c:lblAlgn val="ctr"/>
        <c:lblOffset val="100"/>
        <c:noMultiLvlLbl val="0"/>
      </c:catAx>
      <c:valAx>
        <c:axId val="120407168"/>
        <c:scaling>
          <c:orientation val="minMax"/>
        </c:scaling>
        <c:delete val="0"/>
        <c:axPos val="l"/>
        <c:majorGridlines/>
        <c:numFmt formatCode="General" sourceLinked="1"/>
        <c:majorTickMark val="out"/>
        <c:minorTickMark val="none"/>
        <c:tickLblPos val="nextTo"/>
        <c:crossAx val="12048486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ASIADER</a:t>
            </a:r>
          </a:p>
        </c:rich>
      </c:tx>
      <c:overlay val="1"/>
    </c:title>
    <c:autoTitleDeleted val="0"/>
    <c:pivotFmts>
      <c:pivotFmt>
        <c:idx val="0"/>
      </c:pivotFmt>
      <c:pivotFmt>
        <c:idx val="1"/>
      </c:pivotFmt>
      <c:pivotFmt>
        <c:idx val="2"/>
      </c:pivotFmt>
    </c:pivotFmts>
    <c:plotArea>
      <c:layout>
        <c:manualLayout>
          <c:layoutTarget val="inner"/>
          <c:xMode val="edge"/>
          <c:yMode val="edge"/>
          <c:x val="9.6630232076253625E-2"/>
          <c:y val="0.10782869280515193"/>
          <c:w val="0.87752390326209229"/>
          <c:h val="0.67970682144113426"/>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17510</c:v>
                </c:pt>
                <c:pt idx="1">
                  <c:v>17602</c:v>
                </c:pt>
                <c:pt idx="2">
                  <c:v>17668</c:v>
                </c:pt>
                <c:pt idx="3">
                  <c:v>17286</c:v>
                </c:pt>
                <c:pt idx="4">
                  <c:v>15504</c:v>
                </c:pt>
                <c:pt idx="5">
                  <c:v>14819</c:v>
                </c:pt>
                <c:pt idx="6">
                  <c:v>13071</c:v>
                </c:pt>
                <c:pt idx="7">
                  <c:v>9295</c:v>
                </c:pt>
                <c:pt idx="8">
                  <c:v>6539</c:v>
                </c:pt>
                <c:pt idx="9">
                  <c:v>5762</c:v>
                </c:pt>
                <c:pt idx="10">
                  <c:v>5165</c:v>
                </c:pt>
                <c:pt idx="11">
                  <c:v>5140</c:v>
                </c:pt>
                <c:pt idx="12">
                  <c:v>5013</c:v>
                </c:pt>
              </c:numCache>
            </c:numRef>
          </c:val>
          <c:smooth val="0"/>
        </c:ser>
        <c:dLbls>
          <c:showLegendKey val="0"/>
          <c:showVal val="0"/>
          <c:showCatName val="0"/>
          <c:showSerName val="0"/>
          <c:showPercent val="0"/>
          <c:showBubbleSize val="0"/>
        </c:dLbls>
        <c:marker val="1"/>
        <c:smooth val="0"/>
        <c:axId val="116362240"/>
        <c:axId val="96861504"/>
      </c:lineChart>
      <c:catAx>
        <c:axId val="116362240"/>
        <c:scaling>
          <c:orientation val="minMax"/>
        </c:scaling>
        <c:delete val="0"/>
        <c:axPos val="b"/>
        <c:majorTickMark val="out"/>
        <c:minorTickMark val="none"/>
        <c:tickLblPos val="nextTo"/>
        <c:crossAx val="96861504"/>
        <c:crosses val="autoZero"/>
        <c:auto val="1"/>
        <c:lblAlgn val="ctr"/>
        <c:lblOffset val="100"/>
        <c:noMultiLvlLbl val="0"/>
      </c:catAx>
      <c:valAx>
        <c:axId val="96861504"/>
        <c:scaling>
          <c:orientation val="minMax"/>
        </c:scaling>
        <c:delete val="0"/>
        <c:axPos val="l"/>
        <c:majorGridlines/>
        <c:numFmt formatCode="General" sourceLinked="1"/>
        <c:majorTickMark val="out"/>
        <c:minorTickMark val="none"/>
        <c:tickLblPos val="nextTo"/>
        <c:crossAx val="116362240"/>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950</c:v>
                </c:pt>
                <c:pt idx="1">
                  <c:v>2418</c:v>
                </c:pt>
                <c:pt idx="2">
                  <c:v>552</c:v>
                </c:pt>
                <c:pt idx="3">
                  <c:v>1093</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16</c:v>
                </c:pt>
                <c:pt idx="1">
                  <c:v>11</c:v>
                </c:pt>
                <c:pt idx="2">
                  <c:v>1</c:v>
                </c:pt>
                <c:pt idx="3">
                  <c:v>1</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(ASIADER)</a:t>
            </a:r>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6.0949733705676253E-2"/>
          <c:y val="0.12899818983835967"/>
          <c:w val="0.91326168521697948"/>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ASIADER</c:v>
                </c:pt>
              </c:strCache>
            </c:strRef>
          </c:cat>
          <c:val>
            <c:numRef>
              <c:f>'nacimientos grupo'!$B$7:$B$8</c:f>
              <c:numCache>
                <c:formatCode>General</c:formatCode>
                <c:ptCount val="1"/>
                <c:pt idx="0">
                  <c:v>30</c:v>
                </c:pt>
              </c:numCache>
            </c:numRef>
          </c:val>
        </c:ser>
        <c:ser>
          <c:idx val="1"/>
          <c:order val="1"/>
          <c:tx>
            <c:strRef>
              <c:f>'nacimientos grupo'!$C$5:$C$6</c:f>
              <c:strCache>
                <c:ptCount val="1"/>
                <c:pt idx="0">
                  <c:v>Año 2011</c:v>
                </c:pt>
              </c:strCache>
            </c:strRef>
          </c:tx>
          <c:invertIfNegative val="0"/>
          <c:cat>
            <c:strRef>
              <c:f>'nacimientos grupo'!$A$7:$A$8</c:f>
              <c:strCache>
                <c:ptCount val="1"/>
                <c:pt idx="0">
                  <c:v>ASIADER</c:v>
                </c:pt>
              </c:strCache>
            </c:strRef>
          </c:cat>
          <c:val>
            <c:numRef>
              <c:f>'nacimientos grupo'!$C$7:$C$8</c:f>
              <c:numCache>
                <c:formatCode>General</c:formatCode>
                <c:ptCount val="1"/>
                <c:pt idx="0">
                  <c:v>24</c:v>
                </c:pt>
              </c:numCache>
            </c:numRef>
          </c:val>
        </c:ser>
        <c:ser>
          <c:idx val="2"/>
          <c:order val="2"/>
          <c:tx>
            <c:strRef>
              <c:f>'nacimientos grupo'!$D$5:$D$6</c:f>
              <c:strCache>
                <c:ptCount val="1"/>
                <c:pt idx="0">
                  <c:v>Año 2010</c:v>
                </c:pt>
              </c:strCache>
            </c:strRef>
          </c:tx>
          <c:invertIfNegative val="0"/>
          <c:cat>
            <c:strRef>
              <c:f>'nacimientos grupo'!$A$7:$A$8</c:f>
              <c:strCache>
                <c:ptCount val="1"/>
                <c:pt idx="0">
                  <c:v>ASIADER</c:v>
                </c:pt>
              </c:strCache>
            </c:strRef>
          </c:cat>
          <c:val>
            <c:numRef>
              <c:f>'nacimientos grupo'!$D$7:$D$8</c:f>
              <c:numCache>
                <c:formatCode>General</c:formatCode>
                <c:ptCount val="1"/>
                <c:pt idx="0">
                  <c:v>30</c:v>
                </c:pt>
              </c:numCache>
            </c:numRef>
          </c:val>
        </c:ser>
        <c:ser>
          <c:idx val="3"/>
          <c:order val="3"/>
          <c:tx>
            <c:strRef>
              <c:f>'nacimientos grupo'!$E$5:$E$6</c:f>
              <c:strCache>
                <c:ptCount val="1"/>
                <c:pt idx="0">
                  <c:v>Año 2009</c:v>
                </c:pt>
              </c:strCache>
            </c:strRef>
          </c:tx>
          <c:invertIfNegative val="0"/>
          <c:cat>
            <c:strRef>
              <c:f>'nacimientos grupo'!$A$7:$A$8</c:f>
              <c:strCache>
                <c:ptCount val="1"/>
                <c:pt idx="0">
                  <c:v>ASIADER</c:v>
                </c:pt>
              </c:strCache>
            </c:strRef>
          </c:cat>
          <c:val>
            <c:numRef>
              <c:f>'nacimientos grupo'!$E$7:$E$8</c:f>
              <c:numCache>
                <c:formatCode>General</c:formatCode>
                <c:ptCount val="1"/>
                <c:pt idx="0">
                  <c:v>21</c:v>
                </c:pt>
              </c:numCache>
            </c:numRef>
          </c:val>
        </c:ser>
        <c:ser>
          <c:idx val="4"/>
          <c:order val="4"/>
          <c:tx>
            <c:strRef>
              <c:f>'nacimientos grupo'!$F$5:$F$6</c:f>
              <c:strCache>
                <c:ptCount val="1"/>
                <c:pt idx="0">
                  <c:v>Año 2008</c:v>
                </c:pt>
              </c:strCache>
            </c:strRef>
          </c:tx>
          <c:invertIfNegative val="0"/>
          <c:cat>
            <c:strRef>
              <c:f>'nacimientos grupo'!$A$7:$A$8</c:f>
              <c:strCache>
                <c:ptCount val="1"/>
                <c:pt idx="0">
                  <c:v>ASIADER</c:v>
                </c:pt>
              </c:strCache>
            </c:strRef>
          </c:cat>
          <c:val>
            <c:numRef>
              <c:f>'nacimientos grupo'!$F$7:$F$8</c:f>
              <c:numCache>
                <c:formatCode>General</c:formatCode>
                <c:ptCount val="1"/>
                <c:pt idx="0">
                  <c:v>33</c:v>
                </c:pt>
              </c:numCache>
            </c:numRef>
          </c:val>
        </c:ser>
        <c:ser>
          <c:idx val="5"/>
          <c:order val="5"/>
          <c:tx>
            <c:strRef>
              <c:f>'nacimientos grupo'!$G$5:$G$6</c:f>
              <c:strCache>
                <c:ptCount val="1"/>
                <c:pt idx="0">
                  <c:v>Año 2007</c:v>
                </c:pt>
              </c:strCache>
            </c:strRef>
          </c:tx>
          <c:invertIfNegative val="0"/>
          <c:cat>
            <c:strRef>
              <c:f>'nacimientos grupo'!$A$7:$A$8</c:f>
              <c:strCache>
                <c:ptCount val="1"/>
                <c:pt idx="0">
                  <c:v>ASIADER</c:v>
                </c:pt>
              </c:strCache>
            </c:strRef>
          </c:cat>
          <c:val>
            <c:numRef>
              <c:f>'nacimientos grupo'!$G$7:$G$8</c:f>
              <c:numCache>
                <c:formatCode>General</c:formatCode>
                <c:ptCount val="1"/>
                <c:pt idx="0">
                  <c:v>30</c:v>
                </c:pt>
              </c:numCache>
            </c:numRef>
          </c:val>
        </c:ser>
        <c:dLbls>
          <c:showLegendKey val="0"/>
          <c:showVal val="0"/>
          <c:showCatName val="0"/>
          <c:showSerName val="0"/>
          <c:showPercent val="0"/>
          <c:showBubbleSize val="0"/>
        </c:dLbls>
        <c:gapWidth val="150"/>
        <c:shape val="cylinder"/>
        <c:axId val="116361216"/>
        <c:axId val="114650496"/>
        <c:axId val="0"/>
      </c:bar3DChart>
      <c:catAx>
        <c:axId val="116361216"/>
        <c:scaling>
          <c:orientation val="minMax"/>
        </c:scaling>
        <c:delete val="0"/>
        <c:axPos val="b"/>
        <c:majorTickMark val="out"/>
        <c:minorTickMark val="none"/>
        <c:tickLblPos val="nextTo"/>
        <c:crossAx val="114650496"/>
        <c:crosses val="autoZero"/>
        <c:auto val="1"/>
        <c:lblAlgn val="ctr"/>
        <c:lblOffset val="100"/>
        <c:noMultiLvlLbl val="0"/>
      </c:catAx>
      <c:valAx>
        <c:axId val="114650496"/>
        <c:scaling>
          <c:orientation val="minMax"/>
        </c:scaling>
        <c:delete val="0"/>
        <c:axPos val="l"/>
        <c:majorGridlines/>
        <c:numFmt formatCode="General" sourceLinked="1"/>
        <c:majorTickMark val="out"/>
        <c:minorTickMark val="none"/>
        <c:tickLblPos val="nextTo"/>
        <c:crossAx val="116361216"/>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6.8005236998244456E-2"/>
          <c:y val="0.1647711283476325"/>
          <c:w val="0.91326168521697948"/>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ASIADER</c:v>
                </c:pt>
              </c:strCache>
            </c:strRef>
          </c:cat>
          <c:val>
            <c:numRef>
              <c:f>'defunciones grupo'!$B$7:$B$8</c:f>
              <c:numCache>
                <c:formatCode>General</c:formatCode>
                <c:ptCount val="1"/>
                <c:pt idx="0">
                  <c:v>71</c:v>
                </c:pt>
              </c:numCache>
            </c:numRef>
          </c:val>
        </c:ser>
        <c:ser>
          <c:idx val="1"/>
          <c:order val="1"/>
          <c:tx>
            <c:strRef>
              <c:f>'defunciones grupo'!$C$5:$C$6</c:f>
              <c:strCache>
                <c:ptCount val="1"/>
                <c:pt idx="0">
                  <c:v>Año 2011</c:v>
                </c:pt>
              </c:strCache>
            </c:strRef>
          </c:tx>
          <c:invertIfNegative val="0"/>
          <c:cat>
            <c:strRef>
              <c:f>'defunciones grupo'!$A$7:$A$8</c:f>
              <c:strCache>
                <c:ptCount val="1"/>
                <c:pt idx="0">
                  <c:v>ASIADER</c:v>
                </c:pt>
              </c:strCache>
            </c:strRef>
          </c:cat>
          <c:val>
            <c:numRef>
              <c:f>'defunciones grupo'!$C$7:$C$8</c:f>
              <c:numCache>
                <c:formatCode>General</c:formatCode>
                <c:ptCount val="1"/>
                <c:pt idx="0">
                  <c:v>71</c:v>
                </c:pt>
              </c:numCache>
            </c:numRef>
          </c:val>
        </c:ser>
        <c:ser>
          <c:idx val="2"/>
          <c:order val="2"/>
          <c:tx>
            <c:strRef>
              <c:f>'defunciones grupo'!$D$5:$D$6</c:f>
              <c:strCache>
                <c:ptCount val="1"/>
                <c:pt idx="0">
                  <c:v>Año 2010</c:v>
                </c:pt>
              </c:strCache>
            </c:strRef>
          </c:tx>
          <c:invertIfNegative val="0"/>
          <c:cat>
            <c:strRef>
              <c:f>'defunciones grupo'!$A$7:$A$8</c:f>
              <c:strCache>
                <c:ptCount val="1"/>
                <c:pt idx="0">
                  <c:v>ASIADER</c:v>
                </c:pt>
              </c:strCache>
            </c:strRef>
          </c:cat>
          <c:val>
            <c:numRef>
              <c:f>'defunciones grupo'!$D$7:$D$8</c:f>
              <c:numCache>
                <c:formatCode>General</c:formatCode>
                <c:ptCount val="1"/>
                <c:pt idx="0">
                  <c:v>63</c:v>
                </c:pt>
              </c:numCache>
            </c:numRef>
          </c:val>
        </c:ser>
        <c:ser>
          <c:idx val="3"/>
          <c:order val="3"/>
          <c:tx>
            <c:strRef>
              <c:f>'defunciones grupo'!$E$5:$E$6</c:f>
              <c:strCache>
                <c:ptCount val="1"/>
                <c:pt idx="0">
                  <c:v>Año 2009</c:v>
                </c:pt>
              </c:strCache>
            </c:strRef>
          </c:tx>
          <c:invertIfNegative val="0"/>
          <c:cat>
            <c:strRef>
              <c:f>'defunciones grupo'!$A$7:$A$8</c:f>
              <c:strCache>
                <c:ptCount val="1"/>
                <c:pt idx="0">
                  <c:v>ASIADER</c:v>
                </c:pt>
              </c:strCache>
            </c:strRef>
          </c:cat>
          <c:val>
            <c:numRef>
              <c:f>'defunciones grupo'!$E$7:$E$8</c:f>
              <c:numCache>
                <c:formatCode>General</c:formatCode>
                <c:ptCount val="1"/>
                <c:pt idx="0">
                  <c:v>72</c:v>
                </c:pt>
              </c:numCache>
            </c:numRef>
          </c:val>
        </c:ser>
        <c:ser>
          <c:idx val="4"/>
          <c:order val="4"/>
          <c:tx>
            <c:strRef>
              <c:f>'defunciones grupo'!$F$5:$F$6</c:f>
              <c:strCache>
                <c:ptCount val="1"/>
                <c:pt idx="0">
                  <c:v>Año 2008</c:v>
                </c:pt>
              </c:strCache>
            </c:strRef>
          </c:tx>
          <c:invertIfNegative val="0"/>
          <c:cat>
            <c:strRef>
              <c:f>'defunciones grupo'!$A$7:$A$8</c:f>
              <c:strCache>
                <c:ptCount val="1"/>
                <c:pt idx="0">
                  <c:v>ASIADER</c:v>
                </c:pt>
              </c:strCache>
            </c:strRef>
          </c:cat>
          <c:val>
            <c:numRef>
              <c:f>'defunciones grupo'!$F$7:$F$8</c:f>
              <c:numCache>
                <c:formatCode>General</c:formatCode>
                <c:ptCount val="1"/>
                <c:pt idx="0">
                  <c:v>68</c:v>
                </c:pt>
              </c:numCache>
            </c:numRef>
          </c:val>
        </c:ser>
        <c:ser>
          <c:idx val="5"/>
          <c:order val="5"/>
          <c:tx>
            <c:strRef>
              <c:f>'defunciones grupo'!$G$5:$G$6</c:f>
              <c:strCache>
                <c:ptCount val="1"/>
                <c:pt idx="0">
                  <c:v>Año 2007</c:v>
                </c:pt>
              </c:strCache>
            </c:strRef>
          </c:tx>
          <c:invertIfNegative val="0"/>
          <c:cat>
            <c:strRef>
              <c:f>'defunciones grupo'!$A$7:$A$8</c:f>
              <c:strCache>
                <c:ptCount val="1"/>
                <c:pt idx="0">
                  <c:v>ASIADER</c:v>
                </c:pt>
              </c:strCache>
            </c:strRef>
          </c:cat>
          <c:val>
            <c:numRef>
              <c:f>'defunciones grupo'!$G$7:$G$8</c:f>
              <c:numCache>
                <c:formatCode>General</c:formatCode>
                <c:ptCount val="1"/>
                <c:pt idx="0">
                  <c:v>80</c:v>
                </c:pt>
              </c:numCache>
            </c:numRef>
          </c:val>
        </c:ser>
        <c:ser>
          <c:idx val="6"/>
          <c:order val="6"/>
          <c:tx>
            <c:strRef>
              <c:f>'defunciones grupo'!$H$5:$H$6</c:f>
              <c:strCache>
                <c:ptCount val="1"/>
                <c:pt idx="0">
                  <c:v>Año 2006</c:v>
                </c:pt>
              </c:strCache>
            </c:strRef>
          </c:tx>
          <c:invertIfNegative val="0"/>
          <c:cat>
            <c:strRef>
              <c:f>'defunciones grupo'!$A$7:$A$8</c:f>
              <c:strCache>
                <c:ptCount val="1"/>
                <c:pt idx="0">
                  <c:v>ASIADER</c:v>
                </c:pt>
              </c:strCache>
            </c:strRef>
          </c:cat>
          <c:val>
            <c:numRef>
              <c:f>'defunciones grupo'!$H$7:$H$8</c:f>
              <c:numCache>
                <c:formatCode>General</c:formatCode>
                <c:ptCount val="1"/>
                <c:pt idx="0">
                  <c:v>70</c:v>
                </c:pt>
              </c:numCache>
            </c:numRef>
          </c:val>
        </c:ser>
        <c:dLbls>
          <c:showLegendKey val="0"/>
          <c:showVal val="0"/>
          <c:showCatName val="0"/>
          <c:showSerName val="0"/>
          <c:showPercent val="0"/>
          <c:showBubbleSize val="0"/>
        </c:dLbls>
        <c:gapWidth val="150"/>
        <c:shape val="cylinder"/>
        <c:axId val="118884864"/>
        <c:axId val="114652224"/>
        <c:axId val="0"/>
      </c:bar3DChart>
      <c:catAx>
        <c:axId val="118884864"/>
        <c:scaling>
          <c:orientation val="minMax"/>
        </c:scaling>
        <c:delete val="0"/>
        <c:axPos val="b"/>
        <c:majorTickMark val="out"/>
        <c:minorTickMark val="none"/>
        <c:tickLblPos val="nextTo"/>
        <c:crossAx val="114652224"/>
        <c:crosses val="autoZero"/>
        <c:auto val="1"/>
        <c:lblAlgn val="ctr"/>
        <c:lblOffset val="100"/>
        <c:noMultiLvlLbl val="0"/>
      </c:catAx>
      <c:valAx>
        <c:axId val="114652224"/>
        <c:scaling>
          <c:orientation val="minMax"/>
        </c:scaling>
        <c:delete val="0"/>
        <c:axPos val="l"/>
        <c:majorGridlines/>
        <c:numFmt formatCode="General" sourceLinked="1"/>
        <c:majorTickMark val="out"/>
        <c:minorTickMark val="none"/>
        <c:tickLblPos val="nextTo"/>
        <c:crossAx val="118884864"/>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3361458597917196E-2"/>
          <c:y val="0.13317612084203762"/>
          <c:w val="0.88647725107950215"/>
          <c:h val="0.69266792543789169"/>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ASIADER</c:v>
                </c:pt>
              </c:strCache>
            </c:strRef>
          </c:cat>
          <c:val>
            <c:numRef>
              <c:f>'variación residencia grupo'!$B$7:$B$8</c:f>
              <c:numCache>
                <c:formatCode>General</c:formatCode>
                <c:ptCount val="1"/>
                <c:pt idx="0">
                  <c:v>-61</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ASIADER</c:v>
                </c:pt>
              </c:strCache>
            </c:strRef>
          </c:cat>
          <c:val>
            <c:numRef>
              <c:f>'variación residencia grupo'!$C$7:$C$8</c:f>
              <c:numCache>
                <c:formatCode>General</c:formatCode>
                <c:ptCount val="1"/>
                <c:pt idx="0">
                  <c:v>-77</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ASIADER</c:v>
                </c:pt>
              </c:strCache>
            </c:strRef>
          </c:cat>
          <c:val>
            <c:numRef>
              <c:f>'variación residencia grupo'!$D$7:$D$8</c:f>
              <c:numCache>
                <c:formatCode>General</c:formatCode>
                <c:ptCount val="1"/>
                <c:pt idx="0">
                  <c:v>-41</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ASIADER</c:v>
                </c:pt>
              </c:strCache>
            </c:strRef>
          </c:cat>
          <c:val>
            <c:numRef>
              <c:f>'variación residencia grupo'!$E$7:$E$8</c:f>
              <c:numCache>
                <c:formatCode>General</c:formatCode>
                <c:ptCount val="1"/>
                <c:pt idx="0">
                  <c:v>49</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ASIADER</c:v>
                </c:pt>
              </c:strCache>
            </c:strRef>
          </c:cat>
          <c:val>
            <c:numRef>
              <c:f>'variación residencia grupo'!$F$7:$F$8</c:f>
              <c:numCache>
                <c:formatCode>General</c:formatCode>
                <c:ptCount val="1"/>
                <c:pt idx="0">
                  <c:v>24</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ASIADER</c:v>
                </c:pt>
              </c:strCache>
            </c:strRef>
          </c:cat>
          <c:val>
            <c:numRef>
              <c:f>'variación residencia grupo'!$G$7:$G$8</c:f>
              <c:numCache>
                <c:formatCode>General</c:formatCode>
                <c:ptCount val="1"/>
                <c:pt idx="0">
                  <c:v>-32</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ASIADER</c:v>
                </c:pt>
              </c:strCache>
            </c:strRef>
          </c:cat>
          <c:val>
            <c:numRef>
              <c:f>'variación residencia grupo'!$H$7:$H$8</c:f>
              <c:numCache>
                <c:formatCode>General</c:formatCode>
                <c:ptCount val="1"/>
                <c:pt idx="0">
                  <c:v>3</c:v>
                </c:pt>
              </c:numCache>
            </c:numRef>
          </c:val>
        </c:ser>
        <c:dLbls>
          <c:showLegendKey val="0"/>
          <c:showVal val="0"/>
          <c:showCatName val="0"/>
          <c:showSerName val="0"/>
          <c:showPercent val="0"/>
          <c:showBubbleSize val="0"/>
        </c:dLbls>
        <c:gapWidth val="150"/>
        <c:shape val="cylinder"/>
        <c:axId val="118885376"/>
        <c:axId val="114653952"/>
        <c:axId val="0"/>
      </c:bar3DChart>
      <c:catAx>
        <c:axId val="118885376"/>
        <c:scaling>
          <c:orientation val="minMax"/>
        </c:scaling>
        <c:delete val="0"/>
        <c:axPos val="b"/>
        <c:majorTickMark val="out"/>
        <c:minorTickMark val="none"/>
        <c:tickLblPos val="low"/>
        <c:crossAx val="114653952"/>
        <c:crosses val="autoZero"/>
        <c:auto val="1"/>
        <c:lblAlgn val="ctr"/>
        <c:lblOffset val="100"/>
        <c:noMultiLvlLbl val="0"/>
      </c:catAx>
      <c:valAx>
        <c:axId val="114653952"/>
        <c:scaling>
          <c:orientation val="minMax"/>
        </c:scaling>
        <c:delete val="0"/>
        <c:axPos val="l"/>
        <c:majorGridlines/>
        <c:numFmt formatCode="General" sourceLinked="1"/>
        <c:majorTickMark val="out"/>
        <c:minorTickMark val="none"/>
        <c:tickLblPos val="nextTo"/>
        <c:crossAx val="118885376"/>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ASIADER</c:v>
                </c:pt>
              </c:strCache>
            </c:strRef>
          </c:cat>
          <c:val>
            <c:numRef>
              <c:f>'Tabla porcentajes 2012'!$B$9:$B$10</c:f>
              <c:numCache>
                <c:formatCode>0.0000%</c:formatCode>
                <c:ptCount val="1"/>
                <c:pt idx="0">
                  <c:v>4.3735528685361468E-3</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ASIADER</c:v>
                </c:pt>
              </c:strCache>
            </c:strRef>
          </c:cat>
          <c:val>
            <c:numRef>
              <c:f>'Tabla porcentajes 2012'!$C$9:$C$10</c:f>
              <c:numCache>
                <c:formatCode>0.0000%</c:formatCode>
                <c:ptCount val="1"/>
                <c:pt idx="0">
                  <c:v>5.27555346208196E-3</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ASIADER</c:v>
                </c:pt>
              </c:strCache>
            </c:strRef>
          </c:cat>
          <c:val>
            <c:numRef>
              <c:f>'Tabla porcentajes 2012'!$D$9:$D$10</c:f>
              <c:numCache>
                <c:formatCode>0.0000%</c:formatCode>
                <c:ptCount val="1"/>
                <c:pt idx="0">
                  <c:v>5.6772100567721012E-3</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ASIADER</c:v>
                </c:pt>
              </c:strCache>
            </c:strRef>
          </c:cat>
          <c:val>
            <c:numRef>
              <c:f>'Tabla porcentajes 2012'!$E$9:$E$10</c:f>
              <c:numCache>
                <c:formatCode>0.0000%</c:formatCode>
                <c:ptCount val="1"/>
                <c:pt idx="0">
                  <c:v>6.6502569417454761E-3</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ASIADER</c:v>
                </c:pt>
              </c:strCache>
            </c:strRef>
          </c:cat>
          <c:val>
            <c:numRef>
              <c:f>'Tabla porcentajes 2012'!$F$9:$F$10</c:f>
              <c:numCache>
                <c:formatCode>0.0000%</c:formatCode>
                <c:ptCount val="1"/>
                <c:pt idx="0">
                  <c:v>3.0982998869752846E-3</c:v>
                </c:pt>
              </c:numCache>
            </c:numRef>
          </c:val>
        </c:ser>
        <c:dLbls>
          <c:showLegendKey val="0"/>
          <c:showVal val="0"/>
          <c:showCatName val="0"/>
          <c:showSerName val="0"/>
          <c:showPercent val="0"/>
          <c:showBubbleSize val="0"/>
        </c:dLbls>
        <c:gapWidth val="150"/>
        <c:shape val="box"/>
        <c:axId val="120243200"/>
        <c:axId val="120275520"/>
        <c:axId val="0"/>
      </c:bar3DChart>
      <c:catAx>
        <c:axId val="120243200"/>
        <c:scaling>
          <c:orientation val="minMax"/>
        </c:scaling>
        <c:delete val="0"/>
        <c:axPos val="b"/>
        <c:majorTickMark val="out"/>
        <c:minorTickMark val="none"/>
        <c:tickLblPos val="nextTo"/>
        <c:crossAx val="120275520"/>
        <c:crosses val="autoZero"/>
        <c:auto val="1"/>
        <c:lblAlgn val="ctr"/>
        <c:lblOffset val="100"/>
        <c:noMultiLvlLbl val="0"/>
      </c:catAx>
      <c:valAx>
        <c:axId val="120275520"/>
        <c:scaling>
          <c:orientation val="minMax"/>
        </c:scaling>
        <c:delete val="0"/>
        <c:axPos val="l"/>
        <c:majorGridlines/>
        <c:numFmt formatCode="0.00%" sourceLinked="0"/>
        <c:majorTickMark val="out"/>
        <c:minorTickMark val="none"/>
        <c:tickLblPos val="nextTo"/>
        <c:crossAx val="120243200"/>
        <c:crosses val="autoZero"/>
        <c:crossBetween val="between"/>
      </c:valAx>
      <c:spPr>
        <a:solidFill>
          <a:schemeClr val="accent4">
            <a:lumMod val="20000"/>
            <a:lumOff val="80000"/>
          </a:schemeClr>
        </a:solidFill>
      </c:spPr>
    </c:plotArea>
    <c:legend>
      <c:legendPos val="b"/>
      <c:layout>
        <c:manualLayout>
          <c:xMode val="edge"/>
          <c:yMode val="edge"/>
          <c:x val="0.7196151056775798"/>
          <c:y val="5.1244695265364557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ASIADER</c:v>
                </c:pt>
              </c:strCache>
            </c:strRef>
          </c:cat>
          <c:val>
            <c:numRef>
              <c:f>'Tabla evolucion 2012-2011'!$B$9</c:f>
              <c:numCache>
                <c:formatCode>General</c:formatCode>
                <c:ptCount val="1"/>
                <c:pt idx="0">
                  <c:v>0</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ASIADER</c:v>
                </c:pt>
              </c:strCache>
            </c:strRef>
          </c:cat>
          <c:val>
            <c:numRef>
              <c:f>'Tabla evolucion 2012-2011'!$C$9</c:f>
              <c:numCache>
                <c:formatCode>General</c:formatCode>
                <c:ptCount val="1"/>
                <c:pt idx="0">
                  <c:v>0</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ASIADER</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ASIADER</c:v>
                </c:pt>
              </c:strCache>
            </c:strRef>
          </c:cat>
          <c:val>
            <c:numRef>
              <c:f>'Tabla evolucion 2012-2011'!$E$9</c:f>
              <c:numCache>
                <c:formatCode>General</c:formatCode>
                <c:ptCount val="1"/>
                <c:pt idx="0">
                  <c:v>-36</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ASIADER</c:v>
                </c:pt>
              </c:strCache>
            </c:strRef>
          </c:cat>
          <c:val>
            <c:numRef>
              <c:f>'Tabla evolucion 2012-2011'!$F$9</c:f>
              <c:numCache>
                <c:formatCode>General</c:formatCode>
                <c:ptCount val="1"/>
                <c:pt idx="0">
                  <c:v>-40</c:v>
                </c:pt>
              </c:numCache>
            </c:numRef>
          </c:val>
        </c:ser>
        <c:dLbls>
          <c:showLegendKey val="0"/>
          <c:showVal val="0"/>
          <c:showCatName val="0"/>
          <c:showSerName val="0"/>
          <c:showPercent val="0"/>
          <c:showBubbleSize val="0"/>
        </c:dLbls>
        <c:gapWidth val="150"/>
        <c:shape val="box"/>
        <c:axId val="120243712"/>
        <c:axId val="120277248"/>
        <c:axId val="0"/>
      </c:bar3DChart>
      <c:catAx>
        <c:axId val="120243712"/>
        <c:scaling>
          <c:orientation val="minMax"/>
        </c:scaling>
        <c:delete val="0"/>
        <c:axPos val="b"/>
        <c:majorTickMark val="out"/>
        <c:minorTickMark val="none"/>
        <c:tickLblPos val="low"/>
        <c:crossAx val="120277248"/>
        <c:crosses val="autoZero"/>
        <c:auto val="1"/>
        <c:lblAlgn val="ctr"/>
        <c:lblOffset val="100"/>
        <c:noMultiLvlLbl val="0"/>
      </c:catAx>
      <c:valAx>
        <c:axId val="120277248"/>
        <c:scaling>
          <c:orientation val="minMax"/>
        </c:scaling>
        <c:delete val="0"/>
        <c:axPos val="l"/>
        <c:majorGridlines/>
        <c:numFmt formatCode="General" sourceLinked="1"/>
        <c:majorTickMark val="out"/>
        <c:minorTickMark val="none"/>
        <c:tickLblPos val="nextTo"/>
        <c:crossAx val="120243712"/>
        <c:crosses val="autoZero"/>
        <c:crossBetween val="between"/>
      </c:valAx>
    </c:plotArea>
    <c:legend>
      <c:legendPos val="b"/>
      <c:layout>
        <c:manualLayout>
          <c:xMode val="edge"/>
          <c:yMode val="edge"/>
          <c:x val="0.73557919621749424"/>
          <c:y val="4.2531042785662804E-2"/>
          <c:w val="0.26244763851502106"/>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1508,6km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3,32</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E7F9743B-0301-4D83-B591-8A18D3C63A88}" type="presOf" srcId="{F52A5D61-5B52-41D6-82AD-1AB126421323}" destId="{A37BC357-048C-4C8A-9C7C-39AAB06E79AE}" srcOrd="1" destOrd="0" presId="urn:microsoft.com/office/officeart/2005/8/layout/hList9"/>
    <dgm:cxn modelId="{B4D7B75F-EEBF-465C-98A1-5D3AB422E8F3}" srcId="{18A8730F-81C8-4E32-8AFC-F641D9564C32}" destId="{5A345620-AAE9-43AC-BFA5-7DCF838F6E6A}" srcOrd="0" destOrd="0" parTransId="{E6081994-E4C2-4952-BBDE-14351334798F}" sibTransId="{0DB3948C-1A0B-476A-81D8-3AAF2857D4B8}"/>
    <dgm:cxn modelId="{2F102407-51C1-4947-AF62-A589E45C1B29}" type="presOf" srcId="{DC8F0761-D699-4726-9FCA-759596682644}" destId="{DACECD24-1E16-43E4-80BE-26CFAFDBDD5C}" srcOrd="1" destOrd="0" presId="urn:microsoft.com/office/officeart/2005/8/layout/hList9"/>
    <dgm:cxn modelId="{253CE080-C1D4-4EB3-AB60-BB5F350942F0}" type="presOf" srcId="{18A8730F-81C8-4E32-8AFC-F641D9564C32}" destId="{E62352AE-7A92-409B-A693-FF5F5F371E72}"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4DEDF9BD-774F-433F-8692-9506125BD4F2}" type="presOf" srcId="{5A345620-AAE9-43AC-BFA5-7DCF838F6E6A}" destId="{BF6713A8-036E-43D7-9142-70FA401CC8E0}" srcOrd="0" destOrd="0" presId="urn:microsoft.com/office/officeart/2005/8/layout/hList9"/>
    <dgm:cxn modelId="{9D1F1683-8478-4067-B0A2-77C3A7370BCA}" type="presOf" srcId="{DC8F0761-D699-4726-9FCA-759596682644}" destId="{7E56BCF3-9CB5-4F8B-BE2F-0C63200680D4}" srcOrd="0" destOrd="0" presId="urn:microsoft.com/office/officeart/2005/8/layout/hList9"/>
    <dgm:cxn modelId="{3B29BCCB-CCEE-455F-9199-F35B8B83E28D}" type="presOf" srcId="{8A25AA0E-05A3-48A4-9066-D86732F11EE6}" destId="{575C1222-BBA2-426D-9CA7-C61006236803}"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A3C95E27-B801-4731-804A-DB3ACA48513C}" type="presOf" srcId="{F52A5D61-5B52-41D6-82AD-1AB126421323}" destId="{53641B60-3D2A-48DF-8978-B44702B50950}" srcOrd="0" destOrd="0" presId="urn:microsoft.com/office/officeart/2005/8/layout/hList9"/>
    <dgm:cxn modelId="{DD32E3F2-B593-44DF-B6E6-0A8597A90058}" type="presParOf" srcId="{E62352AE-7A92-409B-A693-FF5F5F371E72}" destId="{601C966D-3AF6-4118-B620-1E3EFBE740C9}" srcOrd="0" destOrd="0" presId="urn:microsoft.com/office/officeart/2005/8/layout/hList9"/>
    <dgm:cxn modelId="{469CEE9B-FB36-4F45-A2D7-B57BA92AC13A}" type="presParOf" srcId="{E62352AE-7A92-409B-A693-FF5F5F371E72}" destId="{F36D099F-EEB4-4F98-872E-B1D06C65E133}" srcOrd="1" destOrd="0" presId="urn:microsoft.com/office/officeart/2005/8/layout/hList9"/>
    <dgm:cxn modelId="{AAD362C6-B31A-414C-B0AF-CA9F432B7492}" type="presParOf" srcId="{F36D099F-EEB4-4F98-872E-B1D06C65E133}" destId="{DB5C4403-791E-4B02-859B-EC3F5B33D810}" srcOrd="0" destOrd="0" presId="urn:microsoft.com/office/officeart/2005/8/layout/hList9"/>
    <dgm:cxn modelId="{92805216-3C57-41A8-B4C1-2D1485452E3F}" type="presParOf" srcId="{F36D099F-EEB4-4F98-872E-B1D06C65E133}" destId="{8F52367C-0189-4D38-8029-7D76FCD93C77}" srcOrd="1" destOrd="0" presId="urn:microsoft.com/office/officeart/2005/8/layout/hList9"/>
    <dgm:cxn modelId="{D2E997AA-4D88-4FCB-89A5-939DB4D25FD8}" type="presParOf" srcId="{8F52367C-0189-4D38-8029-7D76FCD93C77}" destId="{7E56BCF3-9CB5-4F8B-BE2F-0C63200680D4}" srcOrd="0" destOrd="0" presId="urn:microsoft.com/office/officeart/2005/8/layout/hList9"/>
    <dgm:cxn modelId="{EC144926-C721-4A4B-A98D-A42BF908EE24}" type="presParOf" srcId="{8F52367C-0189-4D38-8029-7D76FCD93C77}" destId="{DACECD24-1E16-43E4-80BE-26CFAFDBDD5C}" srcOrd="1" destOrd="0" presId="urn:microsoft.com/office/officeart/2005/8/layout/hList9"/>
    <dgm:cxn modelId="{69941189-E8EC-4B66-9979-E43EE161CCFD}" type="presParOf" srcId="{E62352AE-7A92-409B-A693-FF5F5F371E72}" destId="{5246FFAB-65CC-4258-8CBF-5E13D423474C}" srcOrd="2" destOrd="0" presId="urn:microsoft.com/office/officeart/2005/8/layout/hList9"/>
    <dgm:cxn modelId="{72D47AA9-6053-4CE3-A681-EFCCDE2204CE}" type="presParOf" srcId="{E62352AE-7A92-409B-A693-FF5F5F371E72}" destId="{BF6713A8-036E-43D7-9142-70FA401CC8E0}" srcOrd="3" destOrd="0" presId="urn:microsoft.com/office/officeart/2005/8/layout/hList9"/>
    <dgm:cxn modelId="{C62D3EF1-914E-4F85-8225-948E56F4AA43}" type="presParOf" srcId="{E62352AE-7A92-409B-A693-FF5F5F371E72}" destId="{FB6E445D-BFE8-4AE0-9399-C0EECE766FC0}" srcOrd="4" destOrd="0" presId="urn:microsoft.com/office/officeart/2005/8/layout/hList9"/>
    <dgm:cxn modelId="{6A7C3766-AD22-488C-9A80-1F0DC50A77E3}" type="presParOf" srcId="{E62352AE-7A92-409B-A693-FF5F5F371E72}" destId="{99EAC4E4-9F15-4285-B02D-55B2D929CDCE}" srcOrd="5" destOrd="0" presId="urn:microsoft.com/office/officeart/2005/8/layout/hList9"/>
    <dgm:cxn modelId="{1CDD76BF-57F0-4BEB-AE53-B3B73C77C61E}" type="presParOf" srcId="{E62352AE-7A92-409B-A693-FF5F5F371E72}" destId="{C29BD979-117A-4098-82FD-CF9E1B668D9D}" srcOrd="6" destOrd="0" presId="urn:microsoft.com/office/officeart/2005/8/layout/hList9"/>
    <dgm:cxn modelId="{EA61AF21-78EB-4ADF-8ADA-744B88395A6F}" type="presParOf" srcId="{C29BD979-117A-4098-82FD-CF9E1B668D9D}" destId="{A6CEB835-8B0C-4E1D-9DF6-36136D68911F}" srcOrd="0" destOrd="0" presId="urn:microsoft.com/office/officeart/2005/8/layout/hList9"/>
    <dgm:cxn modelId="{96B78E79-59D2-4CCB-97D5-BF2E485CD777}" type="presParOf" srcId="{C29BD979-117A-4098-82FD-CF9E1B668D9D}" destId="{43FC3AB4-C3DD-4D28-BDA2-12470C5C44D6}" srcOrd="1" destOrd="0" presId="urn:microsoft.com/office/officeart/2005/8/layout/hList9"/>
    <dgm:cxn modelId="{ED1B19D9-0411-40A8-9195-7CCA9D6E8818}" type="presParOf" srcId="{43FC3AB4-C3DD-4D28-BDA2-12470C5C44D6}" destId="{53641B60-3D2A-48DF-8978-B44702B50950}" srcOrd="0" destOrd="0" presId="urn:microsoft.com/office/officeart/2005/8/layout/hList9"/>
    <dgm:cxn modelId="{EEDE3683-0E20-4B02-BC27-1E581FE233EB}" type="presParOf" srcId="{43FC3AB4-C3DD-4D28-BDA2-12470C5C44D6}" destId="{A37BC357-048C-4C8A-9C7C-39AAB06E79AE}" srcOrd="1" destOrd="0" presId="urn:microsoft.com/office/officeart/2005/8/layout/hList9"/>
    <dgm:cxn modelId="{B179DA08-9A6F-4BDD-A814-764DD8259B8D}" type="presParOf" srcId="{E62352AE-7A92-409B-A693-FF5F5F371E72}" destId="{8196E043-9A47-465E-9AB6-9778260CB821}" srcOrd="7" destOrd="0" presId="urn:microsoft.com/office/officeart/2005/8/layout/hList9"/>
    <dgm:cxn modelId="{97292B39-6069-43DF-92F7-020124D01DA7}"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1508,6km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3,32</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A7112-F433-4DF0-9815-43A91A8D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24</Pages>
  <Words>1858</Words>
  <Characters>10222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Caracterización territorial de (AGUJAMA)</vt:lpstr>
    </vt:vector>
  </TitlesOfParts>
  <Company/>
  <LinksUpToDate>false</LinksUpToDate>
  <CharactersWithSpaces>12056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Sierra de Albarracín. Asociación para el Desarrollo Rural Integral de la Sierra de Albarracín.  </dc:title>
  <dc:subject/>
  <dc:creator>miriam escorza torrijos</dc:creator>
  <cp:keywords/>
  <dc:description/>
  <cp:lastModifiedBy>miriam escorza torrijos</cp:lastModifiedBy>
  <cp:revision>144</cp:revision>
  <dcterms:created xsi:type="dcterms:W3CDTF">2014-12-16T11:01:00Z</dcterms:created>
  <dcterms:modified xsi:type="dcterms:W3CDTF">2015-02-19T09:50:00Z</dcterms:modified>
</cp:coreProperties>
</file>