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73CFCDA0" wp14:editId="0610653F">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3E08C793" wp14:editId="71DD3A40">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70C8" w:rsidRDefault="003270C8" w:rsidP="003270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3270C8" w:rsidRDefault="003270C8" w:rsidP="003270C8">
                          <w:pPr>
                            <w:jc w:val="center"/>
                          </w:pPr>
                        </w:p>
                      </w:txbxContent>
                    </v:textbox>
                  </v:rec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8F1315" w:rsidRDefault="003270C8" w:rsidP="00F36D27">
              <w:pPr>
                <w:jc w:val="center"/>
                <w:rPr>
                  <w:b/>
                  <w:color w:val="FFFFFF" w:themeColor="background1"/>
                  <w:sz w:val="32"/>
                  <w:szCs w:val="32"/>
                </w:rPr>
              </w:pPr>
              <w:r w:rsidRPr="003270C8">
                <w:rPr>
                  <w:b/>
                  <w:color w:val="FFFFFF" w:themeColor="background1"/>
                  <w:sz w:val="32"/>
                </w:rPr>
                <w:t>Caracterización territorial de Tierras del Moncayo. Asociación para el Desarrollo de las Tierras del Moncayo (Asomo)</w:t>
              </w:r>
            </w:p>
          </w:sdtContent>
        </w:sdt>
        <w:p w:rsidR="005047FE" w:rsidRDefault="005047FE" w:rsidP="00DA6CCE">
          <w:pPr>
            <w:jc w:val="both"/>
            <w:rPr>
              <w:b/>
              <w:color w:val="000000" w:themeColor="text1"/>
              <w:sz w:val="32"/>
              <w:szCs w:val="32"/>
            </w:rPr>
          </w:pPr>
        </w:p>
        <w:p w:rsidR="005047FE" w:rsidRDefault="008F1315" w:rsidP="003270C8">
          <w:pPr>
            <w:tabs>
              <w:tab w:val="left" w:pos="1984"/>
              <w:tab w:val="left" w:pos="3000"/>
            </w:tabs>
            <w:jc w:val="both"/>
            <w:rPr>
              <w:b/>
              <w:color w:val="000000" w:themeColor="text1"/>
              <w:sz w:val="32"/>
              <w:szCs w:val="32"/>
            </w:rPr>
          </w:pPr>
          <w:r>
            <w:rPr>
              <w:b/>
              <w:color w:val="000000" w:themeColor="text1"/>
              <w:sz w:val="32"/>
              <w:szCs w:val="32"/>
            </w:rPr>
            <w:tab/>
          </w:r>
          <w:r w:rsidR="003270C8">
            <w:rPr>
              <w:b/>
              <w:color w:val="000000" w:themeColor="text1"/>
              <w:sz w:val="32"/>
              <w:szCs w:val="32"/>
            </w:rPr>
            <w:tab/>
          </w:r>
        </w:p>
        <w:p w:rsidR="003270C8" w:rsidRDefault="003270C8" w:rsidP="003270C8">
          <w:pPr>
            <w:tabs>
              <w:tab w:val="left" w:pos="1984"/>
              <w:tab w:val="left" w:pos="3000"/>
            </w:tabs>
            <w:jc w:val="both"/>
            <w:rPr>
              <w:b/>
              <w:color w:val="000000" w:themeColor="text1"/>
              <w:sz w:val="32"/>
              <w:szCs w:val="32"/>
            </w:rPr>
          </w:pPr>
        </w:p>
        <w:p w:rsidR="003270C8" w:rsidRPr="005047FE" w:rsidRDefault="003270C8" w:rsidP="003270C8">
          <w:pPr>
            <w:tabs>
              <w:tab w:val="left" w:pos="1984"/>
              <w:tab w:val="left" w:pos="3000"/>
            </w:tabs>
            <w:jc w:val="both"/>
            <w:rPr>
              <w:b/>
              <w:color w:val="000000" w:themeColor="text1"/>
              <w:sz w:val="32"/>
              <w:szCs w:val="32"/>
            </w:rPr>
          </w:pPr>
        </w:p>
        <w:p w:rsidR="005047FE" w:rsidRDefault="003270C8" w:rsidP="00DA6CCE">
          <w:pPr>
            <w:jc w:val="both"/>
            <w:rPr>
              <w:noProof/>
              <w:lang w:eastAsia="es-ES"/>
            </w:rPr>
          </w:pPr>
          <w:r>
            <w:rPr>
              <w:noProof/>
              <w:lang w:eastAsia="es-ES"/>
            </w:rPr>
            <w:drawing>
              <wp:inline distT="0" distB="0" distL="0" distR="0" wp14:anchorId="5E154D08" wp14:editId="72391674">
                <wp:extent cx="5400040" cy="4481036"/>
                <wp:effectExtent l="0" t="0" r="0" b="0"/>
                <wp:docPr id="14" name="Imagen 14" descr="http://aragonrural.org/wp-content/uploads/2010/07/mapa-moncay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ragonrural.org/wp-content/uploads/2010/07/mapa-moncay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481036"/>
                        </a:xfrm>
                        <a:prstGeom prst="rect">
                          <a:avLst/>
                        </a:prstGeom>
                        <a:noFill/>
                        <a:ln>
                          <a:noFill/>
                        </a:ln>
                      </pic:spPr>
                    </pic:pic>
                  </a:graphicData>
                </a:graphic>
              </wp:inline>
            </w:drawing>
          </w:r>
        </w:p>
        <w:p w:rsidR="005B7974" w:rsidRDefault="005B7974" w:rsidP="00DA6CCE">
          <w:pPr>
            <w:jc w:val="both"/>
            <w:rPr>
              <w:noProof/>
              <w:lang w:eastAsia="es-ES"/>
            </w:rPr>
          </w:pPr>
        </w:p>
        <w:p w:rsidR="005B7974" w:rsidRDefault="005B7974" w:rsidP="00DA6CCE">
          <w:pPr>
            <w:jc w:val="both"/>
            <w:rPr>
              <w:noProof/>
              <w:lang w:eastAsia="es-ES"/>
            </w:rPr>
          </w:pPr>
        </w:p>
        <w:p w:rsidR="005B7974" w:rsidRDefault="005B7974" w:rsidP="00DA6CCE">
          <w:pPr>
            <w:jc w:val="both"/>
            <w:rPr>
              <w:noProof/>
              <w:lang w:eastAsia="es-ES"/>
            </w:rPr>
          </w:pPr>
        </w:p>
        <w:tbl>
          <w:tblPr>
            <w:tblpPr w:leftFromText="187" w:rightFromText="187" w:vertAnchor="page" w:horzAnchor="margin" w:tblpXSpec="center" w:tblpY="14941"/>
            <w:tblOverlap w:val="never"/>
            <w:tblW w:w="0" w:type="auto"/>
            <w:tblLook w:val="04A0" w:firstRow="1" w:lastRow="0" w:firstColumn="1" w:lastColumn="0" w:noHBand="0" w:noVBand="1"/>
          </w:tblPr>
          <w:tblGrid>
            <w:gridCol w:w="8720"/>
          </w:tblGrid>
          <w:tr w:rsidR="003270C8" w:rsidTr="003270C8">
            <w:trPr>
              <w:trHeight w:val="360"/>
            </w:trPr>
            <w:tc>
              <w:tcPr>
                <w:tcW w:w="8720" w:type="dxa"/>
              </w:tcPr>
              <w:p w:rsidR="003270C8" w:rsidRPr="005047FE" w:rsidRDefault="003270C8" w:rsidP="003270C8">
                <w:pPr>
                  <w:pStyle w:val="Sinespaciado"/>
                  <w:jc w:val="both"/>
                  <w:rPr>
                    <w:b/>
                    <w:color w:val="000000" w:themeColor="text1"/>
                    <w:sz w:val="32"/>
                    <w:szCs w:val="32"/>
                  </w:rPr>
                </w:pPr>
                <w:r w:rsidRPr="005047FE">
                  <w:rPr>
                    <w:b/>
                    <w:color w:val="000000" w:themeColor="text1"/>
                    <w:sz w:val="32"/>
                    <w:szCs w:val="32"/>
                  </w:rPr>
                  <w:t>RADR</w:t>
                </w:r>
              </w:p>
            </w:tc>
          </w:tr>
        </w:tbl>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4F10A003" wp14:editId="4BD7692F">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21EAFE9A" wp14:editId="4F361B35">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Sombreadomedio1-nfasis4"/>
            <w:tblW w:w="8847" w:type="dxa"/>
            <w:tblLook w:val="04A0" w:firstRow="1" w:lastRow="0" w:firstColumn="1" w:lastColumn="0" w:noHBand="0" w:noVBand="1"/>
          </w:tblPr>
          <w:tblGrid>
            <w:gridCol w:w="2957"/>
            <w:gridCol w:w="1693"/>
            <w:gridCol w:w="1431"/>
            <w:gridCol w:w="1335"/>
            <w:gridCol w:w="1431"/>
          </w:tblGrid>
          <w:tr w:rsidR="00A33934" w:rsidRPr="00A33934" w:rsidTr="00A33934">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57" w:type="dxa"/>
                <w:noWrap/>
                <w:hideMark/>
              </w:tcPr>
              <w:p w:rsidR="00A33934" w:rsidRPr="00A33934" w:rsidRDefault="00A33934" w:rsidP="00A33934">
                <w:pPr>
                  <w:jc w:val="center"/>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GRUPO</w:t>
                </w:r>
              </w:p>
            </w:tc>
            <w:tc>
              <w:tcPr>
                <w:tcW w:w="1693" w:type="dxa"/>
                <w:noWrap/>
                <w:hideMark/>
              </w:tcPr>
              <w:p w:rsidR="00A33934" w:rsidRPr="00A33934" w:rsidRDefault="00A33934" w:rsidP="00A339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ASOMO</w:t>
                </w:r>
              </w:p>
            </w:tc>
            <w:tc>
              <w:tcPr>
                <w:tcW w:w="1431" w:type="dxa"/>
                <w:noWrap/>
                <w:hideMark/>
              </w:tcPr>
              <w:p w:rsidR="00A33934" w:rsidRPr="00A33934" w:rsidRDefault="00A33934" w:rsidP="00A339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335" w:type="dxa"/>
                <w:noWrap/>
                <w:hideMark/>
              </w:tcPr>
              <w:p w:rsidR="00A33934" w:rsidRPr="00A33934" w:rsidRDefault="00A33934" w:rsidP="00A339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431" w:type="dxa"/>
                <w:noWrap/>
                <w:hideMark/>
              </w:tcPr>
              <w:p w:rsidR="00A33934" w:rsidRPr="00A33934" w:rsidRDefault="00A33934" w:rsidP="00A339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57" w:type="dxa"/>
                <w:vMerge w:val="restart"/>
                <w:hideMark/>
              </w:tcPr>
              <w:p w:rsidR="00A33934" w:rsidRPr="00A33934" w:rsidRDefault="00A33934" w:rsidP="00A33934">
                <w:pPr>
                  <w:jc w:val="center"/>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Clasificación zona</w:t>
                </w:r>
              </w:p>
            </w:tc>
            <w:tc>
              <w:tcPr>
                <w:tcW w:w="3124" w:type="dxa"/>
                <w:gridSpan w:val="2"/>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A33934">
                  <w:rPr>
                    <w:rFonts w:ascii="Calibri" w:eastAsia="Times New Roman" w:hAnsi="Calibri" w:cs="Times New Roman"/>
                    <w:b/>
                    <w:bCs/>
                    <w:sz w:val="20"/>
                    <w:szCs w:val="20"/>
                    <w:lang w:eastAsia="es-ES"/>
                  </w:rPr>
                  <w:t>Población</w:t>
                </w:r>
              </w:p>
            </w:tc>
            <w:tc>
              <w:tcPr>
                <w:tcW w:w="2766" w:type="dxa"/>
                <w:gridSpan w:val="2"/>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A33934">
                  <w:rPr>
                    <w:rFonts w:ascii="Calibri" w:eastAsia="Times New Roman" w:hAnsi="Calibri" w:cs="Times New Roman"/>
                    <w:b/>
                    <w:bCs/>
                    <w:sz w:val="20"/>
                    <w:szCs w:val="20"/>
                    <w:lang w:eastAsia="es-ES"/>
                  </w:rPr>
                  <w:t>Localidades</w:t>
                </w: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57" w:type="dxa"/>
                <w:vMerge/>
                <w:hideMark/>
              </w:tcPr>
              <w:p w:rsidR="00A33934" w:rsidRPr="00A33934" w:rsidRDefault="00A33934" w:rsidP="00A33934">
                <w:pPr>
                  <w:rPr>
                    <w:rFonts w:ascii="Calibri" w:eastAsia="Times New Roman" w:hAnsi="Calibri" w:cs="Times New Roman"/>
                    <w:sz w:val="20"/>
                    <w:szCs w:val="20"/>
                    <w:lang w:eastAsia="es-ES"/>
                  </w:rPr>
                </w:pPr>
              </w:p>
            </w:tc>
            <w:tc>
              <w:tcPr>
                <w:tcW w:w="1693"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A33934">
                  <w:rPr>
                    <w:rFonts w:ascii="Calibri" w:eastAsia="Times New Roman" w:hAnsi="Calibri" w:cs="Times New Roman"/>
                    <w:b/>
                    <w:bCs/>
                    <w:sz w:val="20"/>
                    <w:szCs w:val="20"/>
                    <w:lang w:eastAsia="es-ES"/>
                  </w:rPr>
                  <w:t>Nº</w:t>
                </w:r>
              </w:p>
            </w:tc>
            <w:tc>
              <w:tcPr>
                <w:tcW w:w="1431"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A33934">
                  <w:rPr>
                    <w:rFonts w:ascii="Calibri" w:eastAsia="Times New Roman" w:hAnsi="Calibri" w:cs="Times New Roman"/>
                    <w:b/>
                    <w:bCs/>
                    <w:sz w:val="20"/>
                    <w:szCs w:val="20"/>
                    <w:lang w:eastAsia="es-ES"/>
                  </w:rPr>
                  <w:t>%</w:t>
                </w:r>
              </w:p>
            </w:tc>
            <w:tc>
              <w:tcPr>
                <w:tcW w:w="1335"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A33934">
                  <w:rPr>
                    <w:rFonts w:ascii="Calibri" w:eastAsia="Times New Roman" w:hAnsi="Calibri" w:cs="Times New Roman"/>
                    <w:b/>
                    <w:bCs/>
                    <w:sz w:val="20"/>
                    <w:szCs w:val="20"/>
                    <w:lang w:eastAsia="es-ES"/>
                  </w:rPr>
                  <w:t>Nº</w:t>
                </w:r>
              </w:p>
            </w:tc>
            <w:tc>
              <w:tcPr>
                <w:tcW w:w="1431"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A33934">
                  <w:rPr>
                    <w:rFonts w:ascii="Calibri" w:eastAsia="Times New Roman" w:hAnsi="Calibri" w:cs="Times New Roman"/>
                    <w:b/>
                    <w:bCs/>
                    <w:sz w:val="20"/>
                    <w:szCs w:val="20"/>
                    <w:lang w:eastAsia="es-ES"/>
                  </w:rPr>
                  <w:t>%</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57" w:type="dxa"/>
                <w:noWrap/>
                <w:hideMark/>
              </w:tcPr>
              <w:p w:rsidR="00A33934" w:rsidRPr="00A33934" w:rsidRDefault="00A33934" w:rsidP="00A33934">
                <w:pPr>
                  <w:jc w:val="center"/>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Zona rural (&lt;2000)</w:t>
                </w:r>
              </w:p>
            </w:tc>
            <w:tc>
              <w:tcPr>
                <w:tcW w:w="169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10053</w:t>
                </w:r>
              </w:p>
            </w:tc>
            <w:tc>
              <w:tcPr>
                <w:tcW w:w="1431"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34,15%</w:t>
                </w:r>
              </w:p>
            </w:tc>
            <w:tc>
              <w:tcPr>
                <w:tcW w:w="1335"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31</w:t>
                </w:r>
              </w:p>
            </w:tc>
            <w:tc>
              <w:tcPr>
                <w:tcW w:w="1431"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91,18%</w:t>
                </w: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57" w:type="dxa"/>
                <w:noWrap/>
                <w:hideMark/>
              </w:tcPr>
              <w:p w:rsidR="00A33934" w:rsidRPr="00A33934" w:rsidRDefault="00A33934" w:rsidP="00A33934">
                <w:pPr>
                  <w:jc w:val="center"/>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Zona intermedia (&lt; 10000)</w:t>
                </w:r>
              </w:p>
            </w:tc>
            <w:tc>
              <w:tcPr>
                <w:tcW w:w="1693"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8526</w:t>
                </w:r>
              </w:p>
            </w:tc>
            <w:tc>
              <w:tcPr>
                <w:tcW w:w="1431"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28,96%</w:t>
                </w:r>
              </w:p>
            </w:tc>
            <w:tc>
              <w:tcPr>
                <w:tcW w:w="1335"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2</w:t>
                </w:r>
              </w:p>
            </w:tc>
            <w:tc>
              <w:tcPr>
                <w:tcW w:w="1431"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5,88%</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57" w:type="dxa"/>
                <w:noWrap/>
                <w:hideMark/>
              </w:tcPr>
              <w:p w:rsidR="00A33934" w:rsidRPr="00A33934" w:rsidRDefault="00A33934" w:rsidP="00A33934">
                <w:pPr>
                  <w:jc w:val="center"/>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Zona urbana (&gt; 10000)</w:t>
                </w:r>
              </w:p>
            </w:tc>
            <w:tc>
              <w:tcPr>
                <w:tcW w:w="169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10863</w:t>
                </w:r>
              </w:p>
            </w:tc>
            <w:tc>
              <w:tcPr>
                <w:tcW w:w="1431"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36,90%</w:t>
                </w:r>
              </w:p>
            </w:tc>
            <w:tc>
              <w:tcPr>
                <w:tcW w:w="1335"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1</w:t>
                </w:r>
              </w:p>
            </w:tc>
            <w:tc>
              <w:tcPr>
                <w:tcW w:w="1431"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2,94%</w:t>
                </w: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57" w:type="dxa"/>
                <w:noWrap/>
                <w:hideMark/>
              </w:tcPr>
              <w:p w:rsidR="00A33934" w:rsidRPr="00A33934" w:rsidRDefault="00A33934" w:rsidP="00A33934">
                <w:pPr>
                  <w:jc w:val="center"/>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Total</w:t>
                </w:r>
              </w:p>
            </w:tc>
            <w:tc>
              <w:tcPr>
                <w:tcW w:w="1693"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29442</w:t>
                </w:r>
              </w:p>
            </w:tc>
            <w:tc>
              <w:tcPr>
                <w:tcW w:w="1431"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100,00%</w:t>
                </w:r>
              </w:p>
            </w:tc>
            <w:tc>
              <w:tcPr>
                <w:tcW w:w="1335"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34</w:t>
                </w:r>
              </w:p>
            </w:tc>
            <w:tc>
              <w:tcPr>
                <w:tcW w:w="1431"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A33934">
                  <w:rPr>
                    <w:rFonts w:ascii="Calibri" w:eastAsia="Times New Roman" w:hAnsi="Calibri"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F081D" w:rsidRDefault="00A33934" w:rsidP="00DA6CCE">
          <w:pPr>
            <w:pStyle w:val="Prrafodelista"/>
            <w:ind w:left="284"/>
            <w:jc w:val="both"/>
            <w:rPr>
              <w:noProof/>
              <w:lang w:eastAsia="es-ES"/>
            </w:rPr>
          </w:pPr>
          <w:r>
            <w:rPr>
              <w:noProof/>
              <w:lang w:eastAsia="es-ES"/>
            </w:rPr>
            <w:drawing>
              <wp:inline distT="0" distB="0" distL="0" distR="0" wp14:anchorId="69BEA21C" wp14:editId="515DEE8D">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13A" w:rsidRDefault="0077413A" w:rsidP="00DA6CCE">
          <w:pPr>
            <w:pStyle w:val="Prrafodelista"/>
            <w:ind w:left="284"/>
            <w:jc w:val="both"/>
            <w:rPr>
              <w:noProof/>
              <w:lang w:eastAsia="es-ES"/>
            </w:rPr>
          </w:pPr>
        </w:p>
        <w:p w:rsidR="0077413A" w:rsidRDefault="0077413A" w:rsidP="00DA6CCE">
          <w:pPr>
            <w:pStyle w:val="Prrafodelista"/>
            <w:ind w:left="284"/>
            <w:jc w:val="both"/>
            <w:rPr>
              <w:noProof/>
              <w:lang w:eastAsia="es-ES"/>
            </w:rPr>
          </w:pPr>
        </w:p>
        <w:p w:rsidR="005047FE" w:rsidRDefault="005047FE" w:rsidP="00DA6CCE">
          <w:pPr>
            <w:jc w:val="both"/>
            <w:rPr>
              <w:noProof/>
              <w:lang w:eastAsia="es-ES"/>
            </w:rPr>
          </w:pPr>
        </w:p>
        <w:p w:rsidR="008222AC" w:rsidRDefault="008222AC"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t>Evolución de la población (1900-2013):</w:t>
          </w:r>
        </w:p>
        <w:p w:rsidR="00533C22" w:rsidRDefault="00533C22" w:rsidP="00DA6CCE">
          <w:pPr>
            <w:pStyle w:val="Prrafodelista"/>
            <w:jc w:val="both"/>
            <w:rPr>
              <w:b/>
              <w:sz w:val="24"/>
              <w:szCs w:val="24"/>
            </w:rPr>
          </w:pPr>
        </w:p>
        <w:p w:rsidR="00533C22" w:rsidRDefault="00A33934" w:rsidP="00DC45B6">
          <w:pPr>
            <w:pStyle w:val="Prrafodelista"/>
            <w:ind w:left="426"/>
            <w:jc w:val="center"/>
            <w:rPr>
              <w:b/>
              <w:sz w:val="24"/>
              <w:szCs w:val="24"/>
            </w:rPr>
          </w:pPr>
          <w:r>
            <w:rPr>
              <w:noProof/>
              <w:lang w:eastAsia="es-ES"/>
            </w:rPr>
            <w:drawing>
              <wp:inline distT="0" distB="0" distL="0" distR="0" wp14:anchorId="1B958405" wp14:editId="51F683C4">
                <wp:extent cx="5405120" cy="3261360"/>
                <wp:effectExtent l="0" t="0" r="24130" b="152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A33934" w:rsidP="00A33934">
          <w:pPr>
            <w:pStyle w:val="Prrafodelista"/>
            <w:jc w:val="both"/>
            <w:rPr>
              <w:sz w:val="24"/>
              <w:szCs w:val="24"/>
            </w:rPr>
          </w:pPr>
          <w:r w:rsidRPr="00A33934">
            <w:rPr>
              <w:noProof/>
              <w:lang w:eastAsia="es-ES"/>
            </w:rPr>
            <w:drawing>
              <wp:inline distT="0" distB="0" distL="0" distR="0" wp14:anchorId="7929C8C5" wp14:editId="53083436">
                <wp:extent cx="5394959" cy="12700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271196"/>
                        </a:xfrm>
                        <a:prstGeom prst="rect">
                          <a:avLst/>
                        </a:prstGeom>
                        <a:noFill/>
                        <a:ln>
                          <a:noFill/>
                        </a:ln>
                      </pic:spPr>
                    </pic:pic>
                  </a:graphicData>
                </a:graphic>
              </wp:inline>
            </w:drawing>
          </w:r>
        </w:p>
        <w:p w:rsidR="00A33934" w:rsidRPr="00A33934" w:rsidRDefault="00A33934" w:rsidP="00A33934">
          <w:pPr>
            <w:pStyle w:val="Prrafodelista"/>
            <w:jc w:val="both"/>
            <w:rPr>
              <w:sz w:val="24"/>
              <w:szCs w:val="24"/>
            </w:rPr>
          </w:pPr>
        </w:p>
        <w:p w:rsidR="00533C22"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A33934" w:rsidRPr="00FA17CC" w:rsidRDefault="00A33934" w:rsidP="00A33934">
          <w:pPr>
            <w:pStyle w:val="Prrafodelista"/>
            <w:jc w:val="both"/>
            <w:rPr>
              <w:sz w:val="24"/>
              <w:szCs w:val="24"/>
            </w:rPr>
          </w:pPr>
        </w:p>
        <w:p w:rsidR="00533C22" w:rsidRDefault="00A33934" w:rsidP="00CE7FA3">
          <w:pPr>
            <w:pStyle w:val="Prrafodelista"/>
            <w:ind w:left="567"/>
            <w:jc w:val="both"/>
            <w:rPr>
              <w:sz w:val="24"/>
              <w:szCs w:val="24"/>
            </w:rPr>
          </w:pPr>
          <w:r w:rsidRPr="00A33934">
            <w:rPr>
              <w:noProof/>
              <w:lang w:eastAsia="es-ES"/>
            </w:rPr>
            <w:drawing>
              <wp:inline distT="0" distB="0" distL="0" distR="0" wp14:anchorId="7CC7E530" wp14:editId="1BB06005">
                <wp:extent cx="5394960" cy="11785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179670"/>
                        </a:xfrm>
                        <a:prstGeom prst="rect">
                          <a:avLst/>
                        </a:prstGeom>
                        <a:noFill/>
                        <a:ln>
                          <a:noFill/>
                        </a:ln>
                      </pic:spPr>
                    </pic:pic>
                  </a:graphicData>
                </a:graphic>
              </wp:inline>
            </w:drawing>
          </w:r>
        </w:p>
        <w:p w:rsidR="00AF7330" w:rsidRDefault="00AF7330" w:rsidP="00DA6CCE">
          <w:pPr>
            <w:jc w:val="both"/>
            <w:rPr>
              <w:sz w:val="24"/>
              <w:szCs w:val="24"/>
            </w:rPr>
          </w:pPr>
        </w:p>
        <w:p w:rsidR="005B7974" w:rsidRDefault="005B7974" w:rsidP="00DA6CCE">
          <w:pPr>
            <w:jc w:val="both"/>
            <w:rPr>
              <w:sz w:val="24"/>
              <w:szCs w:val="24"/>
            </w:rPr>
          </w:pPr>
        </w:p>
        <w:p w:rsidR="00BB78C6" w:rsidRPr="0092710E" w:rsidRDefault="00BB78C6"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A33934" w:rsidP="00DA6CCE">
          <w:pPr>
            <w:pStyle w:val="Prrafodelista"/>
            <w:ind w:left="426"/>
            <w:jc w:val="both"/>
          </w:pPr>
          <w:r w:rsidRPr="00A33934">
            <w:rPr>
              <w:noProof/>
              <w:lang w:eastAsia="es-ES"/>
            </w:rPr>
            <w:drawing>
              <wp:inline distT="0" distB="0" distL="0" distR="0" wp14:anchorId="586063C6" wp14:editId="04E09978">
                <wp:extent cx="5618480" cy="49784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752" cy="501497"/>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A33934" w:rsidP="00DA6CCE">
          <w:pPr>
            <w:pStyle w:val="Prrafodelista"/>
            <w:ind w:left="426"/>
            <w:jc w:val="both"/>
            <w:rPr>
              <w:b/>
              <w:sz w:val="24"/>
              <w:szCs w:val="24"/>
            </w:rPr>
          </w:pPr>
          <w:r w:rsidRPr="00A33934">
            <w:rPr>
              <w:noProof/>
              <w:lang w:eastAsia="es-ES"/>
            </w:rPr>
            <w:drawing>
              <wp:inline distT="0" distB="0" distL="0" distR="0" wp14:anchorId="376C51B5" wp14:editId="518760AC">
                <wp:extent cx="5618480" cy="487680"/>
                <wp:effectExtent l="0" t="0" r="127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749" cy="491262"/>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A33934" w:rsidP="00DA6CCE">
          <w:pPr>
            <w:pStyle w:val="Prrafodelista"/>
            <w:ind w:left="426"/>
            <w:jc w:val="both"/>
            <w:rPr>
              <w:b/>
              <w:sz w:val="24"/>
              <w:szCs w:val="24"/>
            </w:rPr>
          </w:pPr>
          <w:r w:rsidRPr="00A33934">
            <w:rPr>
              <w:noProof/>
              <w:lang w:eastAsia="es-ES"/>
            </w:rPr>
            <w:drawing>
              <wp:inline distT="0" distB="0" distL="0" distR="0" wp14:anchorId="5194911B" wp14:editId="4B8FA4DB">
                <wp:extent cx="5618480" cy="47752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44" cy="481027"/>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A33934" w:rsidP="00FA17CC">
          <w:pPr>
            <w:pStyle w:val="Prrafodelista"/>
            <w:ind w:hanging="153"/>
            <w:jc w:val="both"/>
            <w:rPr>
              <w:b/>
              <w:sz w:val="24"/>
              <w:szCs w:val="24"/>
            </w:rPr>
          </w:pPr>
          <w:r>
            <w:rPr>
              <w:noProof/>
              <w:lang w:eastAsia="es-ES"/>
            </w:rPr>
            <w:drawing>
              <wp:inline distT="0" distB="0" distL="0" distR="0" wp14:anchorId="60B43C8C" wp14:editId="7D83C2A3">
                <wp:extent cx="5394960" cy="2509520"/>
                <wp:effectExtent l="38100" t="0" r="15240" b="2413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A33934" w:rsidP="00FA17CC">
          <w:pPr>
            <w:pStyle w:val="Prrafodelista"/>
            <w:ind w:left="709" w:right="-1" w:hanging="142"/>
            <w:jc w:val="both"/>
            <w:rPr>
              <w:b/>
              <w:sz w:val="24"/>
              <w:szCs w:val="24"/>
            </w:rPr>
          </w:pPr>
          <w:r>
            <w:rPr>
              <w:noProof/>
              <w:lang w:eastAsia="es-ES"/>
            </w:rPr>
            <w:drawing>
              <wp:inline distT="0" distB="0" distL="0" distR="0" wp14:anchorId="42CEEA1D" wp14:editId="16F840F7">
                <wp:extent cx="5400040" cy="2334030"/>
                <wp:effectExtent l="38100" t="0" r="1016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BB78C6" w:rsidRDefault="00BB78C6" w:rsidP="00DA6CCE">
          <w:pPr>
            <w:pStyle w:val="Prrafodelista"/>
            <w:ind w:left="567" w:right="-1" w:firstLine="142"/>
            <w:jc w:val="both"/>
            <w:rPr>
              <w:b/>
              <w:sz w:val="24"/>
              <w:szCs w:val="24"/>
            </w:rPr>
          </w:pPr>
        </w:p>
        <w:p w:rsidR="00190C45" w:rsidRPr="008E7AAF" w:rsidRDefault="00190C45"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A33934" w:rsidRPr="00A33934" w:rsidTr="00A33934">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33934" w:rsidRPr="00A33934" w:rsidRDefault="00A33934" w:rsidP="00A33934">
                <w:pPr>
                  <w:jc w:val="center"/>
                  <w:rPr>
                    <w:rFonts w:eastAsia="Times New Roman" w:cs="Times New Roman"/>
                    <w:sz w:val="20"/>
                    <w:szCs w:val="20"/>
                    <w:lang w:eastAsia="es-ES"/>
                  </w:rPr>
                </w:pPr>
                <w:r w:rsidRPr="00A33934">
                  <w:rPr>
                    <w:rFonts w:eastAsia="Times New Roman" w:cs="Times New Roman"/>
                    <w:sz w:val="20"/>
                    <w:szCs w:val="20"/>
                    <w:lang w:eastAsia="es-ES"/>
                  </w:rPr>
                  <w:t>Tasa de masculinidad</w:t>
                </w:r>
              </w:p>
            </w:tc>
            <w:tc>
              <w:tcPr>
                <w:tcW w:w="2420" w:type="dxa"/>
                <w:vMerge w:val="restart"/>
                <w:noWrap/>
                <w:hideMark/>
              </w:tcPr>
              <w:p w:rsidR="00A33934" w:rsidRPr="00A33934" w:rsidRDefault="00A33934" w:rsidP="00A3393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A33934">
                  <w:rPr>
                    <w:rFonts w:eastAsia="Times New Roman" w:cs="Times New Roman"/>
                    <w:sz w:val="20"/>
                    <w:szCs w:val="20"/>
                    <w:lang w:eastAsia="es-ES"/>
                  </w:rPr>
                  <w:t>Aragón</w:t>
                </w:r>
              </w:p>
            </w:tc>
            <w:tc>
              <w:tcPr>
                <w:tcW w:w="2800" w:type="dxa"/>
                <w:vMerge w:val="restart"/>
                <w:noWrap/>
                <w:hideMark/>
              </w:tcPr>
              <w:p w:rsidR="00A33934" w:rsidRPr="00A33934" w:rsidRDefault="00A33934" w:rsidP="00A3393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A33934">
                  <w:rPr>
                    <w:rFonts w:eastAsia="Times New Roman" w:cs="Times New Roman"/>
                    <w:sz w:val="20"/>
                    <w:szCs w:val="20"/>
                    <w:lang w:eastAsia="es-ES"/>
                  </w:rPr>
                  <w:t>GAL</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33934" w:rsidRPr="00A33934" w:rsidRDefault="00A33934" w:rsidP="00A33934">
                <w:pPr>
                  <w:rPr>
                    <w:rFonts w:eastAsia="Times New Roman" w:cs="Times New Roman"/>
                    <w:sz w:val="20"/>
                    <w:szCs w:val="20"/>
                    <w:lang w:eastAsia="es-ES"/>
                  </w:rPr>
                </w:pPr>
              </w:p>
            </w:tc>
            <w:tc>
              <w:tcPr>
                <w:tcW w:w="2420" w:type="dxa"/>
                <w:vMerge/>
                <w:hideMark/>
              </w:tcPr>
              <w:p w:rsidR="00A33934" w:rsidRPr="00A33934" w:rsidRDefault="00A33934" w:rsidP="00A33934">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A33934" w:rsidRPr="00A33934" w:rsidRDefault="00A33934" w:rsidP="00A33934">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33934" w:rsidRPr="00A33934" w:rsidRDefault="00A33934" w:rsidP="00A33934">
                <w:pPr>
                  <w:rPr>
                    <w:rFonts w:eastAsia="Times New Roman" w:cs="Times New Roman"/>
                    <w:sz w:val="20"/>
                    <w:szCs w:val="20"/>
                    <w:lang w:eastAsia="es-ES"/>
                  </w:rPr>
                </w:pPr>
              </w:p>
            </w:tc>
            <w:tc>
              <w:tcPr>
                <w:tcW w:w="242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98,94%</w:t>
                </w:r>
              </w:p>
            </w:tc>
            <w:tc>
              <w:tcPr>
                <w:tcW w:w="280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105,13%</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33934" w:rsidRPr="00A33934" w:rsidRDefault="00A33934" w:rsidP="00A33934">
                <w:pPr>
                  <w:jc w:val="center"/>
                  <w:rPr>
                    <w:rFonts w:eastAsia="Times New Roman" w:cs="Times New Roman"/>
                    <w:sz w:val="20"/>
                    <w:szCs w:val="20"/>
                    <w:lang w:eastAsia="es-ES"/>
                  </w:rPr>
                </w:pPr>
                <w:r w:rsidRPr="00A33934">
                  <w:rPr>
                    <w:rFonts w:eastAsia="Times New Roman" w:cs="Times New Roman"/>
                    <w:sz w:val="20"/>
                    <w:szCs w:val="20"/>
                    <w:lang w:eastAsia="es-ES"/>
                  </w:rPr>
                  <w:t>(número de varones dividido entre número de mujeres</w:t>
                </w:r>
              </w:p>
            </w:tc>
            <w:tc>
              <w:tcPr>
                <w:tcW w:w="242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33934" w:rsidRPr="00A33934" w:rsidRDefault="00A33934" w:rsidP="00A33934">
                <w:pPr>
                  <w:jc w:val="center"/>
                  <w:rPr>
                    <w:rFonts w:eastAsia="Times New Roman" w:cs="Times New Roman"/>
                    <w:sz w:val="20"/>
                    <w:szCs w:val="20"/>
                    <w:lang w:eastAsia="es-ES"/>
                  </w:rPr>
                </w:pPr>
              </w:p>
            </w:tc>
            <w:tc>
              <w:tcPr>
                <w:tcW w:w="242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33934" w:rsidRPr="00A33934" w:rsidRDefault="00A33934" w:rsidP="00A33934">
                <w:pPr>
                  <w:jc w:val="center"/>
                  <w:rPr>
                    <w:rFonts w:eastAsia="Times New Roman" w:cs="Times New Roman"/>
                    <w:sz w:val="20"/>
                    <w:szCs w:val="20"/>
                    <w:lang w:eastAsia="es-ES"/>
                  </w:rPr>
                </w:pPr>
                <w:r w:rsidRPr="00A33934">
                  <w:rPr>
                    <w:rFonts w:eastAsia="Times New Roman" w:cs="Times New Roman"/>
                    <w:sz w:val="20"/>
                    <w:szCs w:val="20"/>
                    <w:lang w:eastAsia="es-ES"/>
                  </w:rPr>
                  <w:t>Índice de maternidad</w:t>
                </w:r>
              </w:p>
            </w:tc>
            <w:tc>
              <w:tcPr>
                <w:tcW w:w="2420" w:type="dxa"/>
                <w:vMerge w:val="restart"/>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Aragón</w:t>
                </w:r>
              </w:p>
            </w:tc>
            <w:tc>
              <w:tcPr>
                <w:tcW w:w="2800" w:type="dxa"/>
                <w:vMerge w:val="restart"/>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GAL</w:t>
                </w: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33934" w:rsidRPr="00A33934" w:rsidRDefault="00A33934" w:rsidP="00A33934">
                <w:pPr>
                  <w:rPr>
                    <w:rFonts w:eastAsia="Times New Roman" w:cs="Times New Roman"/>
                    <w:sz w:val="20"/>
                    <w:szCs w:val="20"/>
                    <w:lang w:eastAsia="es-ES"/>
                  </w:rPr>
                </w:pPr>
              </w:p>
            </w:tc>
            <w:tc>
              <w:tcPr>
                <w:tcW w:w="2420" w:type="dxa"/>
                <w:vMerge/>
                <w:hideMark/>
              </w:tcPr>
              <w:p w:rsidR="00A33934" w:rsidRPr="00A33934" w:rsidRDefault="00A33934" w:rsidP="00A33934">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A33934" w:rsidRPr="00A33934" w:rsidRDefault="00A33934" w:rsidP="00A33934">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33934" w:rsidRPr="00A33934" w:rsidRDefault="00A33934" w:rsidP="00A33934">
                <w:pPr>
                  <w:rPr>
                    <w:rFonts w:eastAsia="Times New Roman" w:cs="Times New Roman"/>
                    <w:sz w:val="20"/>
                    <w:szCs w:val="20"/>
                    <w:lang w:eastAsia="es-ES"/>
                  </w:rPr>
                </w:pPr>
              </w:p>
            </w:tc>
            <w:tc>
              <w:tcPr>
                <w:tcW w:w="242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20,92%</w:t>
                </w:r>
              </w:p>
            </w:tc>
            <w:tc>
              <w:tcPr>
                <w:tcW w:w="280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19,71%</w:t>
                </w: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33934" w:rsidRPr="00A33934" w:rsidRDefault="00A33934" w:rsidP="00A33934">
                <w:pPr>
                  <w:jc w:val="center"/>
                  <w:rPr>
                    <w:rFonts w:eastAsia="Times New Roman" w:cs="Times New Roman"/>
                    <w:sz w:val="20"/>
                    <w:szCs w:val="20"/>
                    <w:lang w:eastAsia="es-ES"/>
                  </w:rPr>
                </w:pPr>
                <w:r w:rsidRPr="00A33934">
                  <w:rPr>
                    <w:rFonts w:eastAsia="Times New Roman" w:cs="Times New Roman"/>
                    <w:sz w:val="20"/>
                    <w:szCs w:val="20"/>
                    <w:lang w:eastAsia="es-ES"/>
                  </w:rPr>
                  <w:t>(número de niños de 0 a4 años entre mujeres de 15 a 49)</w:t>
                </w:r>
              </w:p>
            </w:tc>
            <w:tc>
              <w:tcPr>
                <w:tcW w:w="242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33934" w:rsidRPr="00A33934" w:rsidRDefault="00A33934" w:rsidP="00A33934">
                <w:pPr>
                  <w:jc w:val="center"/>
                  <w:rPr>
                    <w:rFonts w:eastAsia="Times New Roman" w:cs="Times New Roman"/>
                    <w:sz w:val="20"/>
                    <w:szCs w:val="20"/>
                    <w:lang w:eastAsia="es-ES"/>
                  </w:rPr>
                </w:pPr>
              </w:p>
            </w:tc>
            <w:tc>
              <w:tcPr>
                <w:tcW w:w="242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33934" w:rsidRPr="00A33934" w:rsidRDefault="00A33934" w:rsidP="00A33934">
                <w:pPr>
                  <w:jc w:val="center"/>
                  <w:rPr>
                    <w:rFonts w:eastAsia="Times New Roman" w:cs="Times New Roman"/>
                    <w:sz w:val="20"/>
                    <w:szCs w:val="20"/>
                    <w:lang w:eastAsia="es-ES"/>
                  </w:rPr>
                </w:pPr>
                <w:r w:rsidRPr="00A33934">
                  <w:rPr>
                    <w:rFonts w:eastAsia="Times New Roman" w:cs="Times New Roman"/>
                    <w:sz w:val="20"/>
                    <w:szCs w:val="20"/>
                    <w:lang w:eastAsia="es-ES"/>
                  </w:rPr>
                  <w:t>Índice de potencialidad</w:t>
                </w:r>
              </w:p>
            </w:tc>
            <w:tc>
              <w:tcPr>
                <w:tcW w:w="2420" w:type="dxa"/>
                <w:vMerge w:val="restart"/>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Aragón</w:t>
                </w:r>
              </w:p>
            </w:tc>
            <w:tc>
              <w:tcPr>
                <w:tcW w:w="2800" w:type="dxa"/>
                <w:vMerge w:val="restart"/>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GAL</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33934" w:rsidRPr="00A33934" w:rsidRDefault="00A33934" w:rsidP="00A33934">
                <w:pPr>
                  <w:rPr>
                    <w:rFonts w:eastAsia="Times New Roman" w:cs="Times New Roman"/>
                    <w:sz w:val="20"/>
                    <w:szCs w:val="20"/>
                    <w:lang w:eastAsia="es-ES"/>
                  </w:rPr>
                </w:pPr>
              </w:p>
            </w:tc>
            <w:tc>
              <w:tcPr>
                <w:tcW w:w="2420" w:type="dxa"/>
                <w:vMerge/>
                <w:hideMark/>
              </w:tcPr>
              <w:p w:rsidR="00A33934" w:rsidRPr="00A33934" w:rsidRDefault="00A33934" w:rsidP="00A33934">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A33934" w:rsidRPr="00A33934" w:rsidRDefault="00A33934" w:rsidP="00A33934">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33934" w:rsidRPr="00A33934" w:rsidRDefault="00A33934" w:rsidP="00A33934">
                <w:pPr>
                  <w:rPr>
                    <w:rFonts w:eastAsia="Times New Roman" w:cs="Times New Roman"/>
                    <w:sz w:val="20"/>
                    <w:szCs w:val="20"/>
                    <w:lang w:eastAsia="es-ES"/>
                  </w:rPr>
                </w:pPr>
              </w:p>
            </w:tc>
            <w:tc>
              <w:tcPr>
                <w:tcW w:w="242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77,01%</w:t>
                </w:r>
              </w:p>
            </w:tc>
            <w:tc>
              <w:tcPr>
                <w:tcW w:w="280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75,82%</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33934" w:rsidRPr="00A33934" w:rsidRDefault="00A33934" w:rsidP="00A33934">
                <w:pPr>
                  <w:jc w:val="center"/>
                  <w:rPr>
                    <w:rFonts w:eastAsia="Times New Roman" w:cs="Times New Roman"/>
                    <w:sz w:val="20"/>
                    <w:szCs w:val="20"/>
                    <w:lang w:eastAsia="es-ES"/>
                  </w:rPr>
                </w:pPr>
                <w:r w:rsidRPr="00A33934">
                  <w:rPr>
                    <w:rFonts w:eastAsia="Times New Roman" w:cs="Times New Roman"/>
                    <w:sz w:val="20"/>
                    <w:szCs w:val="20"/>
                    <w:lang w:eastAsia="es-ES"/>
                  </w:rPr>
                  <w:t>(número mujeres de 20 a 34 entre mujeres de 35 a 49)</w:t>
                </w:r>
              </w:p>
            </w:tc>
            <w:tc>
              <w:tcPr>
                <w:tcW w:w="242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33934" w:rsidRPr="00A33934" w:rsidRDefault="00A33934" w:rsidP="00A33934">
                <w:pPr>
                  <w:jc w:val="center"/>
                  <w:rPr>
                    <w:rFonts w:eastAsia="Times New Roman" w:cs="Times New Roman"/>
                    <w:sz w:val="20"/>
                    <w:szCs w:val="20"/>
                    <w:lang w:eastAsia="es-ES"/>
                  </w:rPr>
                </w:pPr>
              </w:p>
            </w:tc>
            <w:tc>
              <w:tcPr>
                <w:tcW w:w="242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33934" w:rsidRPr="00A33934" w:rsidRDefault="00A33934" w:rsidP="00A33934">
                <w:pPr>
                  <w:jc w:val="center"/>
                  <w:rPr>
                    <w:rFonts w:eastAsia="Times New Roman" w:cs="Times New Roman"/>
                    <w:sz w:val="20"/>
                    <w:szCs w:val="20"/>
                    <w:lang w:eastAsia="es-ES"/>
                  </w:rPr>
                </w:pPr>
              </w:p>
            </w:tc>
            <w:tc>
              <w:tcPr>
                <w:tcW w:w="242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33934" w:rsidRPr="00A33934" w:rsidRDefault="00A33934" w:rsidP="00A33934">
                <w:pPr>
                  <w:jc w:val="center"/>
                  <w:rPr>
                    <w:rFonts w:eastAsia="Times New Roman" w:cs="Times New Roman"/>
                    <w:sz w:val="20"/>
                    <w:szCs w:val="20"/>
                    <w:lang w:eastAsia="es-ES"/>
                  </w:rPr>
                </w:pPr>
                <w:r w:rsidRPr="00A33934">
                  <w:rPr>
                    <w:rFonts w:eastAsia="Times New Roman" w:cs="Times New Roman"/>
                    <w:sz w:val="20"/>
                    <w:szCs w:val="20"/>
                    <w:lang w:eastAsia="es-ES"/>
                  </w:rPr>
                  <w:t xml:space="preserve">Coeficiente de </w:t>
                </w:r>
                <w:proofErr w:type="spellStart"/>
                <w:r w:rsidRPr="00A33934">
                  <w:rPr>
                    <w:rFonts w:eastAsia="Times New Roman" w:cs="Times New Roman"/>
                    <w:sz w:val="20"/>
                    <w:szCs w:val="20"/>
                    <w:lang w:eastAsia="es-ES"/>
                  </w:rPr>
                  <w:t>sustitucion</w:t>
                </w:r>
                <w:proofErr w:type="spellEnd"/>
              </w:p>
            </w:tc>
            <w:tc>
              <w:tcPr>
                <w:tcW w:w="2420" w:type="dxa"/>
                <w:vMerge w:val="restart"/>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Aragón</w:t>
                </w:r>
              </w:p>
            </w:tc>
            <w:tc>
              <w:tcPr>
                <w:tcW w:w="2800" w:type="dxa"/>
                <w:vMerge w:val="restart"/>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GAL</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33934" w:rsidRPr="00A33934" w:rsidRDefault="00A33934" w:rsidP="00A33934">
                <w:pPr>
                  <w:rPr>
                    <w:rFonts w:eastAsia="Times New Roman" w:cs="Times New Roman"/>
                    <w:sz w:val="20"/>
                    <w:szCs w:val="20"/>
                    <w:lang w:eastAsia="es-ES"/>
                  </w:rPr>
                </w:pPr>
              </w:p>
            </w:tc>
            <w:tc>
              <w:tcPr>
                <w:tcW w:w="2420" w:type="dxa"/>
                <w:vMerge/>
                <w:hideMark/>
              </w:tcPr>
              <w:p w:rsidR="00A33934" w:rsidRPr="00A33934" w:rsidRDefault="00A33934" w:rsidP="00A33934">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A33934" w:rsidRPr="00A33934" w:rsidRDefault="00A33934" w:rsidP="00A33934">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A33934" w:rsidRPr="00A33934" w:rsidTr="00A33934">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33934" w:rsidRPr="00A33934" w:rsidRDefault="00A33934" w:rsidP="00A33934">
                <w:pPr>
                  <w:rPr>
                    <w:rFonts w:eastAsia="Times New Roman" w:cs="Times New Roman"/>
                    <w:sz w:val="20"/>
                    <w:szCs w:val="20"/>
                    <w:lang w:eastAsia="es-ES"/>
                  </w:rPr>
                </w:pPr>
              </w:p>
            </w:tc>
            <w:tc>
              <w:tcPr>
                <w:tcW w:w="242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80,06%</w:t>
                </w:r>
              </w:p>
            </w:tc>
            <w:tc>
              <w:tcPr>
                <w:tcW w:w="2800" w:type="dxa"/>
                <w:noWrap/>
                <w:hideMark/>
              </w:tcPr>
              <w:p w:rsidR="00A33934" w:rsidRPr="00A33934" w:rsidRDefault="00A33934" w:rsidP="00A3393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33934">
                  <w:rPr>
                    <w:rFonts w:eastAsia="Times New Roman" w:cs="Times New Roman"/>
                    <w:b/>
                    <w:bCs/>
                    <w:sz w:val="20"/>
                    <w:szCs w:val="20"/>
                    <w:lang w:eastAsia="es-ES"/>
                  </w:rPr>
                  <w:t>83,89%</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33934" w:rsidRPr="00A33934" w:rsidRDefault="00A33934" w:rsidP="00A33934">
                <w:pPr>
                  <w:jc w:val="center"/>
                  <w:rPr>
                    <w:rFonts w:eastAsia="Times New Roman" w:cs="Times New Roman"/>
                    <w:sz w:val="20"/>
                    <w:szCs w:val="20"/>
                    <w:lang w:eastAsia="es-ES"/>
                  </w:rPr>
                </w:pPr>
                <w:r w:rsidRPr="00A33934">
                  <w:rPr>
                    <w:rFonts w:eastAsia="Times New Roman" w:cs="Times New Roman"/>
                    <w:sz w:val="20"/>
                    <w:szCs w:val="20"/>
                    <w:lang w:eastAsia="es-ES"/>
                  </w:rPr>
                  <w:t>(número de personas de 10 a 14 años entre personas de 60 a 64 años)</w:t>
                </w:r>
              </w:p>
            </w:tc>
            <w:tc>
              <w:tcPr>
                <w:tcW w:w="242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Default="00A33934" w:rsidP="00BB78C6">
          <w:pPr>
            <w:ind w:left="142"/>
            <w:jc w:val="both"/>
            <w:rPr>
              <w:b/>
              <w:sz w:val="24"/>
              <w:szCs w:val="24"/>
            </w:rPr>
          </w:pPr>
          <w:r>
            <w:rPr>
              <w:noProof/>
              <w:lang w:eastAsia="es-ES"/>
            </w:rPr>
            <w:drawing>
              <wp:inline distT="0" distB="0" distL="0" distR="0" wp14:anchorId="4CE102D2" wp14:editId="6F3609E1">
                <wp:extent cx="5400040" cy="2668859"/>
                <wp:effectExtent l="0" t="0" r="10160" b="1778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934" w:rsidRPr="00974B32" w:rsidRDefault="00A33934" w:rsidP="00BB78C6">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t>Evolución de las defunciones (2006-2012):</w:t>
          </w:r>
        </w:p>
        <w:p w:rsidR="00B12E0D" w:rsidRDefault="00A33934" w:rsidP="00FA17CC">
          <w:pPr>
            <w:pStyle w:val="Prrafodelista"/>
            <w:ind w:hanging="578"/>
            <w:jc w:val="both"/>
            <w:rPr>
              <w:b/>
              <w:sz w:val="24"/>
              <w:szCs w:val="24"/>
            </w:rPr>
          </w:pPr>
          <w:r>
            <w:rPr>
              <w:noProof/>
              <w:lang w:eastAsia="es-ES"/>
            </w:rPr>
            <w:drawing>
              <wp:inline distT="0" distB="0" distL="0" distR="0" wp14:anchorId="0725E38B" wp14:editId="53970710">
                <wp:extent cx="5400040" cy="2551546"/>
                <wp:effectExtent l="0" t="0" r="10160" b="2032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A33934" w:rsidRPr="00A33934" w:rsidTr="00A3393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 </w:t>
                </w:r>
              </w:p>
            </w:tc>
            <w:tc>
              <w:tcPr>
                <w:tcW w:w="2960" w:type="dxa"/>
                <w:gridSpan w:val="2"/>
                <w:noWrap/>
                <w:hideMark/>
              </w:tcPr>
              <w:p w:rsidR="00A33934" w:rsidRPr="00A33934" w:rsidRDefault="00A33934" w:rsidP="00A339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2012</w:t>
                </w:r>
              </w:p>
            </w:tc>
            <w:tc>
              <w:tcPr>
                <w:tcW w:w="2640" w:type="dxa"/>
                <w:gridSpan w:val="2"/>
                <w:noWrap/>
                <w:hideMark/>
              </w:tcPr>
              <w:p w:rsidR="00A33934" w:rsidRPr="00A33934" w:rsidRDefault="00A33934" w:rsidP="00A339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2011</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Arial" w:eastAsia="Times New Roman" w:hAnsi="Arial" w:cs="Arial"/>
                    <w:sz w:val="16"/>
                    <w:szCs w:val="16"/>
                    <w:lang w:eastAsia="es-ES"/>
                  </w:rPr>
                </w:pPr>
                <w:r w:rsidRPr="00A33934">
                  <w:rPr>
                    <w:rFonts w:ascii="Arial" w:eastAsia="Times New Roman" w:hAnsi="Arial" w:cs="Arial"/>
                    <w:sz w:val="16"/>
                    <w:szCs w:val="16"/>
                    <w:lang w:eastAsia="es-ES"/>
                  </w:rPr>
                  <w:t>Nacidos vivos por cada mil habitantes.</w:t>
                </w:r>
              </w:p>
            </w:tc>
            <w:tc>
              <w:tcPr>
                <w:tcW w:w="151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Aragón</w:t>
                </w:r>
              </w:p>
            </w:tc>
            <w:tc>
              <w:tcPr>
                <w:tcW w:w="144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GAL</w:t>
                </w:r>
              </w:p>
            </w:tc>
            <w:tc>
              <w:tcPr>
                <w:tcW w:w="135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Aragón</w:t>
                </w:r>
              </w:p>
            </w:tc>
            <w:tc>
              <w:tcPr>
                <w:tcW w:w="128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GAL</w:t>
                </w:r>
              </w:p>
            </w:tc>
          </w:tr>
          <w:tr w:rsidR="00A33934" w:rsidRPr="00A33934" w:rsidTr="00A33934">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Arial" w:eastAsia="Times New Roman" w:hAnsi="Arial" w:cs="Arial"/>
                    <w:sz w:val="16"/>
                    <w:szCs w:val="16"/>
                    <w:lang w:eastAsia="es-ES"/>
                  </w:rPr>
                </w:pPr>
                <w:r w:rsidRPr="00A33934">
                  <w:rPr>
                    <w:rFonts w:ascii="Arial" w:eastAsia="Times New Roman" w:hAnsi="Arial" w:cs="Arial"/>
                    <w:sz w:val="16"/>
                    <w:szCs w:val="16"/>
                    <w:lang w:eastAsia="es-ES"/>
                  </w:rPr>
                  <w:t>Tasa Bruta de Natalidad (‰).</w:t>
                </w:r>
              </w:p>
            </w:tc>
            <w:tc>
              <w:tcPr>
                <w:tcW w:w="151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8,878</w:t>
                </w:r>
              </w:p>
            </w:tc>
            <w:tc>
              <w:tcPr>
                <w:tcW w:w="144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6,825</w:t>
                </w:r>
              </w:p>
            </w:tc>
            <w:tc>
              <w:tcPr>
                <w:tcW w:w="135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9,366</w:t>
                </w:r>
              </w:p>
            </w:tc>
            <w:tc>
              <w:tcPr>
                <w:tcW w:w="128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8,077</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Calibri" w:eastAsia="Times New Roman" w:hAnsi="Calibri" w:cs="Times New Roman"/>
                    <w:color w:val="000000"/>
                    <w:lang w:eastAsia="es-ES"/>
                  </w:rPr>
                </w:pPr>
              </w:p>
            </w:tc>
            <w:tc>
              <w:tcPr>
                <w:tcW w:w="151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A33934" w:rsidRPr="00A33934" w:rsidTr="00A33934">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Arial" w:eastAsia="Times New Roman" w:hAnsi="Arial" w:cs="Arial"/>
                    <w:sz w:val="16"/>
                    <w:szCs w:val="16"/>
                    <w:lang w:eastAsia="es-ES"/>
                  </w:rPr>
                </w:pPr>
                <w:r w:rsidRPr="00A33934">
                  <w:rPr>
                    <w:rFonts w:ascii="Arial" w:eastAsia="Times New Roman" w:hAnsi="Arial" w:cs="Arial"/>
                    <w:sz w:val="16"/>
                    <w:szCs w:val="16"/>
                    <w:lang w:eastAsia="es-ES"/>
                  </w:rPr>
                  <w:t>Defunciones por cada mil habitantes.</w:t>
                </w:r>
              </w:p>
            </w:tc>
            <w:tc>
              <w:tcPr>
                <w:tcW w:w="151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Aragón</w:t>
                </w:r>
              </w:p>
            </w:tc>
            <w:tc>
              <w:tcPr>
                <w:tcW w:w="144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GAL</w:t>
                </w:r>
              </w:p>
            </w:tc>
            <w:tc>
              <w:tcPr>
                <w:tcW w:w="135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Aragón</w:t>
                </w:r>
              </w:p>
            </w:tc>
            <w:tc>
              <w:tcPr>
                <w:tcW w:w="128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GAL</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Arial" w:eastAsia="Times New Roman" w:hAnsi="Arial" w:cs="Arial"/>
                    <w:sz w:val="16"/>
                    <w:szCs w:val="16"/>
                    <w:lang w:eastAsia="es-ES"/>
                  </w:rPr>
                </w:pPr>
                <w:r w:rsidRPr="00A33934">
                  <w:rPr>
                    <w:rFonts w:ascii="Arial" w:eastAsia="Times New Roman" w:hAnsi="Arial" w:cs="Arial"/>
                    <w:sz w:val="16"/>
                    <w:szCs w:val="16"/>
                    <w:lang w:eastAsia="es-ES"/>
                  </w:rPr>
                  <w:t>Tasa Bruta de Mortalidad (‰).</w:t>
                </w:r>
              </w:p>
            </w:tc>
            <w:tc>
              <w:tcPr>
                <w:tcW w:w="151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10,170</w:t>
                </w:r>
              </w:p>
            </w:tc>
            <w:tc>
              <w:tcPr>
                <w:tcW w:w="144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13,450</w:t>
                </w:r>
              </w:p>
            </w:tc>
            <w:tc>
              <w:tcPr>
                <w:tcW w:w="135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10,067</w:t>
                </w:r>
              </w:p>
            </w:tc>
            <w:tc>
              <w:tcPr>
                <w:tcW w:w="128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11,320</w:t>
                </w:r>
              </w:p>
            </w:tc>
          </w:tr>
          <w:tr w:rsidR="00A33934" w:rsidRPr="00A33934" w:rsidTr="00A33934">
            <w:trPr>
              <w:trHeight w:val="431"/>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Calibri" w:eastAsia="Times New Roman" w:hAnsi="Calibri" w:cs="Times New Roman"/>
                    <w:color w:val="000000"/>
                    <w:lang w:eastAsia="es-ES"/>
                  </w:rPr>
                </w:pPr>
              </w:p>
            </w:tc>
            <w:tc>
              <w:tcPr>
                <w:tcW w:w="151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A33934" w:rsidRPr="00A33934" w:rsidRDefault="00A33934" w:rsidP="00A33934">
                <w:pPr>
                  <w:rPr>
                    <w:rFonts w:ascii="Arial" w:eastAsia="Times New Roman" w:hAnsi="Arial" w:cs="Arial"/>
                    <w:sz w:val="16"/>
                    <w:szCs w:val="16"/>
                    <w:lang w:eastAsia="es-ES"/>
                  </w:rPr>
                </w:pPr>
                <w:r w:rsidRPr="00A33934">
                  <w:rPr>
                    <w:rFonts w:ascii="Arial" w:eastAsia="Times New Roman" w:hAnsi="Arial" w:cs="Arial"/>
                    <w:sz w:val="16"/>
                    <w:szCs w:val="16"/>
                    <w:lang w:eastAsia="es-ES"/>
                  </w:rPr>
                  <w:t>Saldo vegetativo (nacimientos menos defunciones) por cada mil habitantes.</w:t>
                </w:r>
              </w:p>
            </w:tc>
            <w:tc>
              <w:tcPr>
                <w:tcW w:w="151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Aragón</w:t>
                </w:r>
              </w:p>
            </w:tc>
            <w:tc>
              <w:tcPr>
                <w:tcW w:w="144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GAL</w:t>
                </w:r>
              </w:p>
            </w:tc>
            <w:tc>
              <w:tcPr>
                <w:tcW w:w="135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Aragón</w:t>
                </w:r>
              </w:p>
            </w:tc>
            <w:tc>
              <w:tcPr>
                <w:tcW w:w="128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GAL</w:t>
                </w:r>
              </w:p>
            </w:tc>
          </w:tr>
          <w:tr w:rsidR="00A33934" w:rsidRPr="00A33934" w:rsidTr="00A33934">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Arial" w:eastAsia="Times New Roman" w:hAnsi="Arial" w:cs="Arial"/>
                    <w:sz w:val="16"/>
                    <w:szCs w:val="16"/>
                    <w:lang w:eastAsia="es-ES"/>
                  </w:rPr>
                </w:pPr>
                <w:r w:rsidRPr="00A33934">
                  <w:rPr>
                    <w:rFonts w:ascii="Arial" w:eastAsia="Times New Roman" w:hAnsi="Arial" w:cs="Arial"/>
                    <w:sz w:val="16"/>
                    <w:szCs w:val="16"/>
                    <w:lang w:eastAsia="es-ES"/>
                  </w:rPr>
                  <w:t>Tasa Bruta de Crecimiento Vegetativo (‰)</w:t>
                </w:r>
              </w:p>
            </w:tc>
            <w:tc>
              <w:tcPr>
                <w:tcW w:w="151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-1,292</w:t>
                </w:r>
              </w:p>
            </w:tc>
            <w:tc>
              <w:tcPr>
                <w:tcW w:w="144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-6,625</w:t>
                </w:r>
              </w:p>
            </w:tc>
            <w:tc>
              <w:tcPr>
                <w:tcW w:w="135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-0,700</w:t>
                </w:r>
              </w:p>
            </w:tc>
            <w:tc>
              <w:tcPr>
                <w:tcW w:w="128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-3,244</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Calibri" w:eastAsia="Times New Roman" w:hAnsi="Calibri" w:cs="Times New Roman"/>
                    <w:color w:val="000000"/>
                    <w:lang w:eastAsia="es-ES"/>
                  </w:rPr>
                </w:pPr>
              </w:p>
            </w:tc>
            <w:tc>
              <w:tcPr>
                <w:tcW w:w="151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A33934" w:rsidRPr="00A33934" w:rsidTr="00A33934">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Arial" w:eastAsia="Times New Roman" w:hAnsi="Arial" w:cs="Arial"/>
                    <w:sz w:val="16"/>
                    <w:szCs w:val="16"/>
                    <w:lang w:eastAsia="es-ES"/>
                  </w:rPr>
                </w:pPr>
                <w:r w:rsidRPr="00A33934">
                  <w:rPr>
                    <w:rFonts w:ascii="Arial" w:eastAsia="Times New Roman" w:hAnsi="Arial" w:cs="Arial"/>
                    <w:sz w:val="16"/>
                    <w:szCs w:val="16"/>
                    <w:lang w:eastAsia="es-ES"/>
                  </w:rPr>
                  <w:t>Matrimonios por cada mil habitantes.</w:t>
                </w:r>
              </w:p>
            </w:tc>
            <w:tc>
              <w:tcPr>
                <w:tcW w:w="151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Aragón</w:t>
                </w:r>
              </w:p>
            </w:tc>
            <w:tc>
              <w:tcPr>
                <w:tcW w:w="144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GAL</w:t>
                </w:r>
              </w:p>
            </w:tc>
            <w:tc>
              <w:tcPr>
                <w:tcW w:w="1353"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Aragón</w:t>
                </w:r>
              </w:p>
            </w:tc>
            <w:tc>
              <w:tcPr>
                <w:tcW w:w="1287" w:type="dxa"/>
                <w:noWrap/>
                <w:hideMark/>
              </w:tcPr>
              <w:p w:rsidR="00A33934" w:rsidRPr="00A33934" w:rsidRDefault="00A33934" w:rsidP="00A339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GAL</w:t>
                </w:r>
              </w:p>
            </w:tc>
          </w:tr>
          <w:tr w:rsidR="00A33934" w:rsidRPr="00A33934" w:rsidTr="00A339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A33934" w:rsidRPr="00A33934" w:rsidRDefault="00A33934" w:rsidP="00A33934">
                <w:pPr>
                  <w:rPr>
                    <w:rFonts w:ascii="Arial" w:eastAsia="Times New Roman" w:hAnsi="Arial" w:cs="Arial"/>
                    <w:sz w:val="16"/>
                    <w:szCs w:val="16"/>
                    <w:lang w:eastAsia="es-ES"/>
                  </w:rPr>
                </w:pPr>
                <w:r w:rsidRPr="00A33934">
                  <w:rPr>
                    <w:rFonts w:ascii="Arial" w:eastAsia="Times New Roman" w:hAnsi="Arial" w:cs="Arial"/>
                    <w:sz w:val="16"/>
                    <w:szCs w:val="16"/>
                    <w:lang w:eastAsia="es-ES"/>
                  </w:rPr>
                  <w:t>Tasa Bruta de Nupcialidad (‰).</w:t>
                </w:r>
              </w:p>
            </w:tc>
            <w:tc>
              <w:tcPr>
                <w:tcW w:w="151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3,492</w:t>
                </w:r>
              </w:p>
            </w:tc>
            <w:tc>
              <w:tcPr>
                <w:tcW w:w="144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3,129</w:t>
                </w:r>
              </w:p>
            </w:tc>
            <w:tc>
              <w:tcPr>
                <w:tcW w:w="1353"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3,205</w:t>
                </w:r>
              </w:p>
            </w:tc>
            <w:tc>
              <w:tcPr>
                <w:tcW w:w="1287" w:type="dxa"/>
                <w:noWrap/>
                <w:hideMark/>
              </w:tcPr>
              <w:p w:rsidR="00A33934" w:rsidRPr="00A33934" w:rsidRDefault="00A33934" w:rsidP="00A339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A33934">
                  <w:rPr>
                    <w:rFonts w:ascii="Calibri" w:eastAsia="Times New Roman" w:hAnsi="Calibri" w:cs="Times New Roman"/>
                    <w:color w:val="000000"/>
                    <w:lang w:eastAsia="es-ES"/>
                  </w:rPr>
                  <w:t>2,681</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7D4708" w:rsidP="00190C45">
          <w:pPr>
            <w:pStyle w:val="Prrafodelista"/>
            <w:jc w:val="center"/>
            <w:rPr>
              <w:b/>
              <w:sz w:val="24"/>
              <w:szCs w:val="24"/>
            </w:rPr>
          </w:pPr>
          <w:r>
            <w:rPr>
              <w:noProof/>
              <w:lang w:eastAsia="es-ES"/>
            </w:rPr>
            <w:lastRenderedPageBreak/>
            <w:drawing>
              <wp:inline distT="0" distB="0" distL="0" distR="0" wp14:anchorId="63F6DA29" wp14:editId="101C3F93">
                <wp:extent cx="5222240" cy="2509520"/>
                <wp:effectExtent l="0" t="0" r="16510" b="2413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t>Porcentaje de llegada de hombres y mujeres extranjeros:</w:t>
          </w:r>
        </w:p>
        <w:p w:rsidR="00E87CD9" w:rsidRPr="00E87CD9" w:rsidRDefault="00E87CD9" w:rsidP="00DA6CCE">
          <w:pPr>
            <w:pStyle w:val="Prrafodelista"/>
            <w:jc w:val="both"/>
            <w:rPr>
              <w:b/>
              <w:sz w:val="24"/>
              <w:szCs w:val="24"/>
            </w:rPr>
          </w:pPr>
        </w:p>
        <w:p w:rsidR="00E87CD9" w:rsidRDefault="007D4708" w:rsidP="00106908">
          <w:pPr>
            <w:pStyle w:val="Prrafodelista"/>
            <w:ind w:left="142" w:right="-568"/>
            <w:jc w:val="both"/>
            <w:rPr>
              <w:b/>
              <w:sz w:val="24"/>
              <w:szCs w:val="24"/>
            </w:rPr>
          </w:pPr>
          <w:r>
            <w:rPr>
              <w:b/>
              <w:noProof/>
              <w:sz w:val="24"/>
              <w:szCs w:val="24"/>
              <w:lang w:eastAsia="es-ES"/>
            </w:rPr>
            <w:drawing>
              <wp:inline distT="0" distB="0" distL="0" distR="0" wp14:anchorId="26BF945D" wp14:editId="1EAB82D6">
                <wp:extent cx="2682240" cy="1727200"/>
                <wp:effectExtent l="0" t="0" r="381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2240" cy="1727200"/>
                        </a:xfrm>
                        <a:prstGeom prst="rect">
                          <a:avLst/>
                        </a:prstGeom>
                        <a:noFill/>
                      </pic:spPr>
                    </pic:pic>
                  </a:graphicData>
                </a:graphic>
              </wp:inline>
            </w:drawing>
          </w:r>
          <w:r>
            <w:rPr>
              <w:b/>
              <w:noProof/>
              <w:sz w:val="24"/>
              <w:szCs w:val="24"/>
              <w:lang w:eastAsia="es-ES"/>
            </w:rPr>
            <w:drawing>
              <wp:inline distT="0" distB="0" distL="0" distR="0" wp14:anchorId="34C7176C" wp14:editId="54DA4F3E">
                <wp:extent cx="2692400" cy="173707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192" cy="1738875"/>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Pr="00287406" w:rsidRDefault="008222AC" w:rsidP="00287406">
          <w:pPr>
            <w:jc w:val="both"/>
            <w:rPr>
              <w:b/>
              <w:sz w:val="24"/>
              <w:szCs w:val="24"/>
            </w:rPr>
          </w:pPr>
        </w:p>
        <w:p w:rsidR="00BB47F5" w:rsidRDefault="00BB47F5"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mc:AlternateContent>
              <mc:Choice Requires="wps">
                <w:drawing>
                  <wp:anchor distT="0" distB="0" distL="114300" distR="114300" simplePos="0" relativeHeight="251662336" behindDoc="0" locked="0" layoutInCell="1" allowOverlap="1" wp14:anchorId="561EE287" wp14:editId="79E5292F">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7D4708" w:rsidP="00DA6CCE">
          <w:pPr>
            <w:pStyle w:val="Prrafodelista"/>
            <w:tabs>
              <w:tab w:val="left" w:pos="3456"/>
            </w:tabs>
            <w:ind w:left="284"/>
            <w:jc w:val="both"/>
            <w:rPr>
              <w:b/>
            </w:rPr>
          </w:pPr>
          <w:r>
            <w:rPr>
              <w:noProof/>
              <w:lang w:eastAsia="es-ES"/>
            </w:rPr>
            <w:drawing>
              <wp:inline distT="0" distB="0" distL="0" distR="0" wp14:anchorId="6769EF9A" wp14:editId="6619C6C7">
                <wp:extent cx="5557520" cy="3495040"/>
                <wp:effectExtent l="0" t="0" r="24130" b="1016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Default="007D4708" w:rsidP="002748A7">
          <w:pPr>
            <w:pStyle w:val="Prrafodelista"/>
            <w:tabs>
              <w:tab w:val="left" w:pos="3456"/>
            </w:tabs>
            <w:ind w:left="284"/>
            <w:jc w:val="both"/>
            <w:rPr>
              <w:b/>
            </w:rPr>
          </w:pPr>
          <w:r>
            <w:rPr>
              <w:noProof/>
              <w:lang w:eastAsia="es-ES"/>
            </w:rPr>
            <w:lastRenderedPageBreak/>
            <w:drawing>
              <wp:inline distT="0" distB="0" distL="0" distR="0" wp14:anchorId="05EBA659" wp14:editId="3C5966F2">
                <wp:extent cx="5405120" cy="3241040"/>
                <wp:effectExtent l="0" t="0" r="24130" b="1651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74D8" w:rsidRPr="002748A7" w:rsidRDefault="008274D8" w:rsidP="002748A7">
          <w:pPr>
            <w:pStyle w:val="Prrafodelista"/>
            <w:tabs>
              <w:tab w:val="left" w:pos="3456"/>
            </w:tabs>
            <w:ind w:left="284"/>
            <w:jc w:val="both"/>
            <w:rPr>
              <w:b/>
            </w:rPr>
          </w:pPr>
        </w:p>
        <w:p w:rsidR="00A84D47" w:rsidRDefault="00A84D47" w:rsidP="00DA6CCE">
          <w:pPr>
            <w:pStyle w:val="Prrafodelista"/>
            <w:tabs>
              <w:tab w:val="left" w:pos="3456"/>
            </w:tabs>
            <w:jc w:val="both"/>
            <w:rPr>
              <w:b/>
            </w:rPr>
          </w:pPr>
        </w:p>
        <w:p w:rsidR="009E04F8" w:rsidRDefault="009E04F8"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t xml:space="preserve">Estructura de altas en la seguridad social por sexo y grupos de edad (Septiembre 2014) </w:t>
          </w:r>
        </w:p>
        <w:p w:rsidR="00A84D47" w:rsidRDefault="007D4708" w:rsidP="00DA6CCE">
          <w:pPr>
            <w:pStyle w:val="Prrafodelista"/>
            <w:tabs>
              <w:tab w:val="left" w:pos="3456"/>
            </w:tabs>
            <w:ind w:left="0"/>
            <w:jc w:val="both"/>
            <w:rPr>
              <w:b/>
            </w:rPr>
          </w:pPr>
          <w:r>
            <w:rPr>
              <w:noProof/>
              <w:lang w:eastAsia="es-ES"/>
            </w:rPr>
            <w:drawing>
              <wp:inline distT="0" distB="0" distL="0" distR="0" wp14:anchorId="4CCF17BF" wp14:editId="3FCEDF51">
                <wp:extent cx="5811520" cy="3251200"/>
                <wp:effectExtent l="0" t="0" r="17780" b="2540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7D4708" w:rsidP="00DA6CCE">
          <w:pPr>
            <w:pStyle w:val="Prrafodelista"/>
            <w:tabs>
              <w:tab w:val="left" w:pos="3456"/>
            </w:tabs>
            <w:ind w:left="0"/>
            <w:jc w:val="both"/>
            <w:rPr>
              <w:b/>
            </w:rPr>
          </w:pPr>
          <w:r>
            <w:rPr>
              <w:noProof/>
              <w:lang w:eastAsia="es-ES"/>
            </w:rPr>
            <w:lastRenderedPageBreak/>
            <w:drawing>
              <wp:inline distT="0" distB="0" distL="0" distR="0" wp14:anchorId="7E59F399" wp14:editId="5BE3383B">
                <wp:extent cx="5740400" cy="3576320"/>
                <wp:effectExtent l="0" t="0" r="12700" b="2413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7228FA" w:rsidP="00DA6CCE">
          <w:pPr>
            <w:pStyle w:val="Prrafodelista"/>
            <w:tabs>
              <w:tab w:val="left" w:pos="3456"/>
            </w:tabs>
            <w:ind w:left="0"/>
            <w:jc w:val="both"/>
            <w:rPr>
              <w:b/>
            </w:rPr>
          </w:pPr>
          <w:r>
            <w:rPr>
              <w:noProof/>
              <w:lang w:eastAsia="es-ES"/>
            </w:rPr>
            <w:drawing>
              <wp:inline distT="0" distB="0" distL="0" distR="0" wp14:anchorId="36F10ED1" wp14:editId="58D24A88">
                <wp:extent cx="5933440" cy="3779520"/>
                <wp:effectExtent l="0" t="0" r="10160" b="114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Default="007D4708" w:rsidP="00695C58">
          <w:pPr>
            <w:pStyle w:val="Prrafodelista"/>
            <w:tabs>
              <w:tab w:val="left" w:pos="3456"/>
            </w:tabs>
            <w:ind w:left="0"/>
            <w:jc w:val="both"/>
            <w:rPr>
              <w:b/>
            </w:rPr>
          </w:pPr>
          <w:r>
            <w:rPr>
              <w:noProof/>
              <w:lang w:eastAsia="es-ES"/>
            </w:rPr>
            <w:drawing>
              <wp:inline distT="0" distB="0" distL="0" distR="0" wp14:anchorId="16821EBF" wp14:editId="18E248FA">
                <wp:extent cx="5933440" cy="3373120"/>
                <wp:effectExtent l="0" t="0" r="10160" b="1778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87406" w:rsidRDefault="00287406" w:rsidP="00695C58">
          <w:pPr>
            <w:pStyle w:val="Prrafodelista"/>
            <w:tabs>
              <w:tab w:val="left" w:pos="3456"/>
            </w:tabs>
            <w:ind w:left="0"/>
            <w:jc w:val="both"/>
            <w:rPr>
              <w:b/>
            </w:rPr>
          </w:pPr>
        </w:p>
        <w:p w:rsidR="00287406" w:rsidRDefault="00287406" w:rsidP="00695C58">
          <w:pPr>
            <w:pStyle w:val="Prrafodelista"/>
            <w:tabs>
              <w:tab w:val="left" w:pos="3456"/>
            </w:tabs>
            <w:ind w:left="0"/>
            <w:jc w:val="both"/>
            <w:rPr>
              <w:b/>
            </w:rPr>
          </w:pPr>
        </w:p>
        <w:p w:rsidR="00287406" w:rsidRPr="00565BB1" w:rsidRDefault="00287406" w:rsidP="00695C58">
          <w:pPr>
            <w:pStyle w:val="Prrafodelista"/>
            <w:tabs>
              <w:tab w:val="left" w:pos="3456"/>
            </w:tabs>
            <w:ind w:left="0"/>
            <w:jc w:val="both"/>
            <w:rPr>
              <w:b/>
            </w:rPr>
          </w:pPr>
        </w:p>
        <w:p w:rsidR="00D16764" w:rsidRPr="00AF7330" w:rsidRDefault="00565BB1" w:rsidP="00DA6CCE">
          <w:pPr>
            <w:pStyle w:val="Prrafodelista"/>
            <w:numPr>
              <w:ilvl w:val="0"/>
              <w:numId w:val="1"/>
            </w:numPr>
            <w:tabs>
              <w:tab w:val="left" w:pos="3456"/>
            </w:tabs>
            <w:jc w:val="both"/>
            <w:rPr>
              <w:b/>
            </w:rPr>
          </w:pPr>
          <w:r w:rsidRPr="009257EF">
            <w:rPr>
              <w:b/>
            </w:rPr>
            <w:t xml:space="preserve"> </w:t>
          </w:r>
          <w:r w:rsidR="00746BD5" w:rsidRPr="009257EF">
            <w:rPr>
              <w:b/>
            </w:rPr>
            <w:t>Promedio de las fuentes tributarias que existen de cada tipo en el grupo A</w:t>
          </w:r>
          <w:r w:rsidR="008C4BFA">
            <w:rPr>
              <w:b/>
            </w:rPr>
            <w:t xml:space="preserve">SOMO </w:t>
          </w:r>
          <w:r w:rsidR="00AF7330">
            <w:rPr>
              <w:b/>
            </w:rPr>
            <w:t xml:space="preserve"> </w:t>
          </w:r>
          <w:r w:rsidR="00AF7330" w:rsidRPr="00AF7330">
            <w:rPr>
              <w:b/>
            </w:rPr>
            <w:t>(2010).</w:t>
          </w:r>
        </w:p>
        <w:tbl>
          <w:tblPr>
            <w:tblStyle w:val="Sombreadoclaro-nfasis4"/>
            <w:tblW w:w="9017" w:type="dxa"/>
            <w:tblLook w:val="04A0" w:firstRow="1" w:lastRow="0" w:firstColumn="1" w:lastColumn="0" w:noHBand="0" w:noVBand="1"/>
          </w:tblPr>
          <w:tblGrid>
            <w:gridCol w:w="1423"/>
            <w:gridCol w:w="2047"/>
            <w:gridCol w:w="2238"/>
            <w:gridCol w:w="2318"/>
            <w:gridCol w:w="991"/>
          </w:tblGrid>
          <w:tr w:rsidR="007D4708" w:rsidRPr="007D4708" w:rsidTr="007D4708">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423" w:type="dxa"/>
                <w:vMerge w:val="restart"/>
                <w:noWrap/>
                <w:hideMark/>
              </w:tcPr>
              <w:p w:rsidR="007D4708" w:rsidRPr="007D4708" w:rsidRDefault="007D4708" w:rsidP="007D4708">
                <w:pPr>
                  <w:rPr>
                    <w:rFonts w:ascii="Calibri" w:eastAsia="Times New Roman" w:hAnsi="Calibri" w:cs="Times New Roman"/>
                    <w:color w:val="000000"/>
                    <w:lang w:eastAsia="es-ES"/>
                  </w:rPr>
                </w:pPr>
                <w:r w:rsidRPr="007D4708">
                  <w:rPr>
                    <w:rFonts w:ascii="Calibri" w:eastAsia="Times New Roman" w:hAnsi="Calibri" w:cs="Times New Roman"/>
                    <w:color w:val="000000"/>
                    <w:lang w:eastAsia="es-ES"/>
                  </w:rPr>
                  <w:t>ASOMO</w:t>
                </w:r>
              </w:p>
            </w:tc>
            <w:tc>
              <w:tcPr>
                <w:tcW w:w="2047" w:type="dxa"/>
                <w:noWrap/>
                <w:hideMark/>
              </w:tcPr>
              <w:p w:rsidR="007D4708" w:rsidRPr="007D4708" w:rsidRDefault="007D4708" w:rsidP="007D47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D4708">
                  <w:rPr>
                    <w:rFonts w:ascii="Calibri" w:eastAsia="Times New Roman" w:hAnsi="Calibri" w:cs="Times New Roman"/>
                    <w:color w:val="000000"/>
                    <w:lang w:eastAsia="es-ES"/>
                  </w:rPr>
                  <w:t>Total percepciones salarios</w:t>
                </w:r>
              </w:p>
            </w:tc>
            <w:tc>
              <w:tcPr>
                <w:tcW w:w="2238" w:type="dxa"/>
                <w:noWrap/>
                <w:hideMark/>
              </w:tcPr>
              <w:p w:rsidR="007D4708" w:rsidRPr="007D4708" w:rsidRDefault="007D4708" w:rsidP="007D47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D4708">
                  <w:rPr>
                    <w:rFonts w:ascii="Calibri" w:eastAsia="Times New Roman" w:hAnsi="Calibri" w:cs="Times New Roman"/>
                    <w:color w:val="000000"/>
                    <w:lang w:eastAsia="es-ES"/>
                  </w:rPr>
                  <w:t>Total Percepciones pensiones</w:t>
                </w:r>
              </w:p>
            </w:tc>
            <w:tc>
              <w:tcPr>
                <w:tcW w:w="2318" w:type="dxa"/>
                <w:noWrap/>
                <w:hideMark/>
              </w:tcPr>
              <w:p w:rsidR="007D4708" w:rsidRPr="007D4708" w:rsidRDefault="007D4708" w:rsidP="007D47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D4708">
                  <w:rPr>
                    <w:rFonts w:ascii="Calibri" w:eastAsia="Times New Roman" w:hAnsi="Calibri" w:cs="Times New Roman"/>
                    <w:color w:val="000000"/>
                    <w:lang w:eastAsia="es-ES"/>
                  </w:rPr>
                  <w:t>Total Percepciones desempleo</w:t>
                </w:r>
              </w:p>
            </w:tc>
            <w:tc>
              <w:tcPr>
                <w:tcW w:w="991" w:type="dxa"/>
                <w:noWrap/>
                <w:hideMark/>
              </w:tcPr>
              <w:p w:rsidR="007D4708" w:rsidRPr="007D4708" w:rsidRDefault="007D4708" w:rsidP="007D47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b w:val="0"/>
                    <w:bCs w:val="0"/>
                    <w:color w:val="000000"/>
                    <w:lang w:eastAsia="es-ES"/>
                  </w:rPr>
                  <w:t>Padró</w:t>
                </w:r>
                <w:r w:rsidRPr="007D4708">
                  <w:rPr>
                    <w:rFonts w:ascii="Calibri" w:eastAsia="Times New Roman" w:hAnsi="Calibri" w:cs="Times New Roman"/>
                    <w:color w:val="000000"/>
                    <w:lang w:eastAsia="es-ES"/>
                  </w:rPr>
                  <w:t>n total</w:t>
                </w:r>
              </w:p>
            </w:tc>
          </w:tr>
          <w:tr w:rsidR="007D4708" w:rsidRPr="007D4708" w:rsidTr="007D4708">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423" w:type="dxa"/>
                <w:vMerge/>
                <w:noWrap/>
                <w:hideMark/>
              </w:tcPr>
              <w:p w:rsidR="007D4708" w:rsidRPr="007D4708" w:rsidRDefault="007D4708" w:rsidP="007D4708">
                <w:pPr>
                  <w:rPr>
                    <w:rFonts w:ascii="Calibri" w:eastAsia="Times New Roman" w:hAnsi="Calibri" w:cs="Times New Roman"/>
                    <w:color w:val="000000"/>
                    <w:lang w:eastAsia="es-ES"/>
                  </w:rPr>
                </w:pPr>
              </w:p>
            </w:tc>
            <w:tc>
              <w:tcPr>
                <w:tcW w:w="2047" w:type="dxa"/>
                <w:noWrap/>
                <w:hideMark/>
              </w:tcPr>
              <w:p w:rsidR="007D4708" w:rsidRPr="007D4708" w:rsidRDefault="007D4708" w:rsidP="007D47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D4708">
                  <w:rPr>
                    <w:rFonts w:ascii="Calibri" w:eastAsia="Times New Roman" w:hAnsi="Calibri" w:cs="Times New Roman"/>
                    <w:b/>
                    <w:bCs/>
                    <w:color w:val="000000"/>
                    <w:lang w:eastAsia="es-ES"/>
                  </w:rPr>
                  <w:t>13973</w:t>
                </w:r>
              </w:p>
            </w:tc>
            <w:tc>
              <w:tcPr>
                <w:tcW w:w="2238" w:type="dxa"/>
                <w:noWrap/>
                <w:hideMark/>
              </w:tcPr>
              <w:p w:rsidR="007D4708" w:rsidRPr="007D4708" w:rsidRDefault="007D4708" w:rsidP="007D47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D4708">
                  <w:rPr>
                    <w:rFonts w:ascii="Calibri" w:eastAsia="Times New Roman" w:hAnsi="Calibri" w:cs="Times New Roman"/>
                    <w:b/>
                    <w:bCs/>
                    <w:color w:val="000000"/>
                    <w:lang w:eastAsia="es-ES"/>
                  </w:rPr>
                  <w:t>8570</w:t>
                </w:r>
              </w:p>
            </w:tc>
            <w:tc>
              <w:tcPr>
                <w:tcW w:w="2318" w:type="dxa"/>
                <w:noWrap/>
                <w:hideMark/>
              </w:tcPr>
              <w:p w:rsidR="007D4708" w:rsidRPr="007D4708" w:rsidRDefault="007D4708" w:rsidP="007D47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D4708">
                  <w:rPr>
                    <w:rFonts w:ascii="Calibri" w:eastAsia="Times New Roman" w:hAnsi="Calibri" w:cs="Times New Roman"/>
                    <w:b/>
                    <w:bCs/>
                    <w:color w:val="000000"/>
                    <w:lang w:eastAsia="es-ES"/>
                  </w:rPr>
                  <w:t>4052</w:t>
                </w:r>
              </w:p>
            </w:tc>
            <w:tc>
              <w:tcPr>
                <w:tcW w:w="991" w:type="dxa"/>
                <w:noWrap/>
                <w:hideMark/>
              </w:tcPr>
              <w:p w:rsidR="007D4708" w:rsidRPr="007D4708" w:rsidRDefault="007D4708" w:rsidP="007D47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D4708">
                  <w:rPr>
                    <w:rFonts w:ascii="Calibri" w:eastAsia="Times New Roman" w:hAnsi="Calibri" w:cs="Times New Roman"/>
                    <w:b/>
                    <w:bCs/>
                    <w:color w:val="000000"/>
                    <w:lang w:eastAsia="es-ES"/>
                  </w:rPr>
                  <w:t>29442</w:t>
                </w:r>
              </w:p>
            </w:tc>
          </w:tr>
        </w:tbl>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Pr="006C2928" w:rsidRDefault="00B8002C" w:rsidP="006C2928">
          <w:pPr>
            <w:tabs>
              <w:tab w:val="left" w:pos="3456"/>
            </w:tabs>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Acción Local A</w:t>
          </w:r>
          <w:r w:rsidR="0073084C">
            <w:t>S</w:t>
          </w:r>
          <w:r w:rsidR="007D4708">
            <w:t>OMO</w:t>
          </w:r>
          <w:r w:rsidRPr="003D4E91">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286C91">
            <w:t xml:space="preserve"> agrupación de comarcas de </w:t>
          </w:r>
          <w:r w:rsidR="00943066">
            <w:t>Tarazona y el Moncayo y el Campo de Borja</w:t>
          </w:r>
          <w:r w:rsidR="00286C91">
            <w:t xml:space="preserve">, </w:t>
          </w:r>
          <w:r w:rsidR="009508AE">
            <w:t xml:space="preserve"> </w:t>
          </w:r>
          <w:r w:rsidR="00924E6A">
            <w:t>y engloba un total de</w:t>
          </w:r>
          <w:r w:rsidR="00286C91">
            <w:t xml:space="preserve"> </w:t>
          </w:r>
          <w:r w:rsidR="00943066">
            <w:t>34</w:t>
          </w:r>
          <w:r w:rsidR="00286C91">
            <w:t xml:space="preserve"> </w:t>
          </w:r>
          <w:r w:rsidR="00924E6A">
            <w:t>municipios.</w:t>
          </w:r>
        </w:p>
        <w:p w:rsidR="00D139A2" w:rsidRPr="003D4E91" w:rsidRDefault="00D139A2" w:rsidP="00DA6CCE">
          <w:pPr>
            <w:pStyle w:val="Prrafodelista"/>
            <w:tabs>
              <w:tab w:val="left" w:pos="3456"/>
            </w:tabs>
            <w:ind w:left="284"/>
            <w:jc w:val="both"/>
          </w:pPr>
        </w:p>
        <w:p w:rsidR="00B96BF7" w:rsidRPr="00EB76CA" w:rsidRDefault="00EB76CA" w:rsidP="00EB76CA">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8pt;height:493.6pt">
                <v:imagedata r:id="rId36" o:title="LOCALIZACIÓN"/>
              </v:shape>
            </w:pict>
          </w:r>
        </w:p>
        <w:p w:rsidR="008D4C33" w:rsidRDefault="00924E6A" w:rsidP="008D4C33">
          <w:pPr>
            <w:ind w:firstLine="708"/>
            <w:jc w:val="both"/>
          </w:pPr>
          <w:r>
            <w:lastRenderedPageBreak/>
            <w:t>El grupo de acción local</w:t>
          </w:r>
          <w:r w:rsidR="00737319">
            <w:t xml:space="preserve"> </w:t>
          </w:r>
          <w:r w:rsidR="009508AE">
            <w:t>A</w:t>
          </w:r>
          <w:r w:rsidR="006C2928">
            <w:t>SOMO está formado por la agrupación de comarcas de Tarazona, El Moncayo y el Campo de Borja. Tarazona y el Moncayo presentan tres tipos de relieve bien diferenciados que caracterizan el medio físico de la zona el valle, el Somontano y la propia sierra del Moncayo. Sin embargo,</w:t>
          </w:r>
          <w:r w:rsidR="006C2928" w:rsidRPr="006C2928">
            <w:t xml:space="preserve"> </w:t>
          </w:r>
          <w:r w:rsidR="006C2928">
            <w:t>El campo de Borja</w:t>
          </w:r>
          <w:r w:rsidR="006C2928">
            <w:t xml:space="preserve"> conforma un área de transición las elevaciones del sistema ibérico y el valle del Ebro.  </w:t>
          </w:r>
        </w:p>
        <w:p w:rsidR="00943066" w:rsidRPr="00EB76CA" w:rsidRDefault="00EB76CA" w:rsidP="00EB76CA">
          <w:pPr>
            <w:ind w:firstLine="708"/>
            <w:jc w:val="both"/>
          </w:pPr>
          <w:r>
            <w:pict>
              <v:shape id="_x0000_i1026" type="#_x0000_t75" style="width:424.8pt;height:600.8pt">
                <v:imagedata r:id="rId37" o:title="medio físico"/>
              </v:shape>
            </w:pict>
          </w:r>
          <w:bookmarkStart w:id="0" w:name="_GoBack"/>
          <w:bookmarkEnd w:id="0"/>
        </w:p>
        <w:p w:rsidR="003D4E91" w:rsidRDefault="003D4E91" w:rsidP="00DA6CC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286C91">
            <w:t>A</w:t>
          </w:r>
          <w:r w:rsidR="00943066">
            <w:t>SOMO</w:t>
          </w:r>
          <w:r w:rsidR="000A6D47">
            <w:t xml:space="preserve"> </w:t>
          </w:r>
          <w:r w:rsidR="00BE5550">
            <w:t>vemos como la mayoría de municipios presentan tasas de masculinida</w:t>
          </w:r>
          <w:r w:rsidR="00E81C69">
            <w:t xml:space="preserve">d superiores a las de feminidad. A excepción de </w:t>
          </w:r>
          <w:proofErr w:type="spellStart"/>
          <w:r w:rsidR="00943066">
            <w:t>Albeta</w:t>
          </w:r>
          <w:proofErr w:type="spellEnd"/>
          <w:r w:rsidR="00943066">
            <w:t xml:space="preserve">, </w:t>
          </w:r>
          <w:proofErr w:type="spellStart"/>
          <w:r w:rsidR="00943066">
            <w:t>Ambel</w:t>
          </w:r>
          <w:proofErr w:type="spellEnd"/>
          <w:r w:rsidR="00943066">
            <w:t>, Novillas, Talamantes y Tarazona.</w:t>
          </w:r>
        </w:p>
        <w:p w:rsidR="00592215" w:rsidRDefault="00EB76CA" w:rsidP="00DA02BE">
          <w:pPr>
            <w:jc w:val="center"/>
            <w:rPr>
              <w:b/>
            </w:rPr>
          </w:pPr>
          <w:r>
            <w:rPr>
              <w:b/>
            </w:rPr>
            <w:pict>
              <v:shape id="_x0000_i1027" type="#_x0000_t75" style="width:424.8pt;height:600.8pt">
                <v:imagedata r:id="rId38" o:title="TASMASCUFEM_DENSI"/>
              </v:shape>
            </w:pict>
          </w:r>
        </w:p>
        <w:p w:rsidR="0073084C" w:rsidRDefault="00592215" w:rsidP="00DA6CCE">
          <w:pPr>
            <w:jc w:val="both"/>
            <w:rPr>
              <w:b/>
            </w:rPr>
          </w:pPr>
          <w:r>
            <w:rPr>
              <w:b/>
            </w:rPr>
            <w:tab/>
          </w:r>
        </w:p>
        <w:p w:rsidR="00592215" w:rsidRPr="00592215" w:rsidRDefault="00592215" w:rsidP="0073084C">
          <w:pPr>
            <w:ind w:firstLine="708"/>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EB76CA" w:rsidP="00452FBF">
          <w:pPr>
            <w:jc w:val="center"/>
            <w:rPr>
              <w:b/>
            </w:rPr>
          </w:pPr>
          <w:r>
            <w:rPr>
              <w:b/>
              <w:noProof/>
              <w:lang w:eastAsia="es-ES"/>
            </w:rPr>
            <w:pict>
              <v:shape id="_x0000_i1028" type="#_x0000_t75" style="width:424.8pt;height:526.4pt">
                <v:imagedata r:id="rId39" o:title="tasaenvejaragon_Asomo"/>
              </v:shape>
            </w:pict>
          </w:r>
        </w:p>
        <w:p w:rsidR="0073084C" w:rsidRDefault="00592215" w:rsidP="00DA6CCE">
          <w:pPr>
            <w:jc w:val="both"/>
          </w:pPr>
          <w:r>
            <w:rPr>
              <w:b/>
            </w:rPr>
            <w:tab/>
          </w:r>
          <w:r>
            <w:t xml:space="preserve">Los municipios </w:t>
          </w:r>
          <w:r w:rsidRPr="00592215">
            <w:t xml:space="preserve">que </w:t>
          </w:r>
          <w:r>
            <w:t>se representan en gris son aquellos de los que no hemos podido disponer de datos.</w:t>
          </w:r>
          <w:r w:rsidR="00943066">
            <w:t xml:space="preserve"> En verde se han representado aquellos municipios que poseen un índice de envejecimiento por debajo de la meda aragonesa de envejecimiento </w:t>
          </w:r>
          <w:r w:rsidR="00085C12">
            <w:t>siendo este el caso de Santa Cruz de Moncayo (75,8%).</w:t>
          </w:r>
          <w:r>
            <w:t xml:space="preserve"> </w:t>
          </w:r>
          <w:r w:rsidR="00085C12">
            <w:t>Por otra parte, e</w:t>
          </w:r>
          <w:r w:rsidR="00AB3ED5">
            <w:t>n amarillo</w:t>
          </w:r>
          <w:r w:rsidR="00085C12">
            <w:t xml:space="preserve"> </w:t>
          </w:r>
          <w:r>
            <w:t xml:space="preserve"> vemos los valores que se asemejan a la media de Aragón</w:t>
          </w:r>
          <w:r w:rsidR="00085C12">
            <w:t xml:space="preserve"> pudiendo ver como Borja (91,4%), </w:t>
          </w:r>
          <w:proofErr w:type="spellStart"/>
          <w:r w:rsidR="00085C12">
            <w:t>Mallén</w:t>
          </w:r>
          <w:proofErr w:type="spellEnd"/>
          <w:r w:rsidR="00085C12">
            <w:t xml:space="preserve"> (108,6%) y Tarazona (110%) cumplen este requisito</w:t>
          </w:r>
          <w:r w:rsidR="0073084C">
            <w:t>.</w:t>
          </w:r>
          <w:r w:rsidR="00D1226C">
            <w:t xml:space="preserve"> </w:t>
          </w:r>
          <w:r w:rsidR="0073084C">
            <w:t>Y</w:t>
          </w:r>
          <w:r>
            <w:t xml:space="preserve">, en el último caso, los valores que se representan en </w:t>
          </w:r>
          <w:r>
            <w:lastRenderedPageBreak/>
            <w:t xml:space="preserve">diferentes tonalidades de 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0B686B">
            <w:t xml:space="preserve">. </w:t>
          </w:r>
          <w:r w:rsidR="000725D3">
            <w:t>Aquellos municipios que se encuentran en una situación alarmante en cuanto a valores muy superiores a la media de envejecimiento de Aragón son:</w:t>
          </w:r>
          <w:r w:rsidR="0073084C">
            <w:t xml:space="preserve"> </w:t>
          </w:r>
          <w:proofErr w:type="spellStart"/>
          <w:r w:rsidR="00085C12">
            <w:t>Añón</w:t>
          </w:r>
          <w:proofErr w:type="spellEnd"/>
          <w:r w:rsidR="00085C12">
            <w:t xml:space="preserve"> de Moncayo (1175%), El </w:t>
          </w:r>
          <w:proofErr w:type="spellStart"/>
          <w:r w:rsidR="00085C12">
            <w:t>Buste</w:t>
          </w:r>
          <w:proofErr w:type="spellEnd"/>
          <w:r w:rsidR="00085C12">
            <w:t xml:space="preserve"> (825%), Los </w:t>
          </w:r>
          <w:proofErr w:type="spellStart"/>
          <w:r w:rsidR="00085C12">
            <w:t>Fayos</w:t>
          </w:r>
          <w:proofErr w:type="spellEnd"/>
          <w:r w:rsidR="00085C12">
            <w:t xml:space="preserve"> (770%), </w:t>
          </w:r>
          <w:proofErr w:type="spellStart"/>
          <w:r w:rsidR="00085C12">
            <w:t>Bisimbre</w:t>
          </w:r>
          <w:proofErr w:type="spellEnd"/>
          <w:r w:rsidR="00085C12">
            <w:t xml:space="preserve"> (716,7%), </w:t>
          </w:r>
          <w:proofErr w:type="spellStart"/>
          <w:r w:rsidR="00085C12">
            <w:t>Lituénigo</w:t>
          </w:r>
          <w:proofErr w:type="spellEnd"/>
          <w:r w:rsidR="00085C12">
            <w:t xml:space="preserve"> (700%), </w:t>
          </w:r>
          <w:proofErr w:type="spellStart"/>
          <w:r w:rsidR="00085C12">
            <w:t>Litago</w:t>
          </w:r>
          <w:proofErr w:type="spellEnd"/>
          <w:r w:rsidR="00085C12">
            <w:t xml:space="preserve"> (630%), Tabuenca (566,7%), Talamantes (566,7%) y </w:t>
          </w:r>
          <w:proofErr w:type="spellStart"/>
          <w:r w:rsidR="00085C12">
            <w:t>Ambel</w:t>
          </w:r>
          <w:proofErr w:type="spellEnd"/>
          <w:r w:rsidR="00085C12">
            <w:t xml:space="preserve"> (521,1%).</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EB76CA" w:rsidP="00452FBF">
          <w:pPr>
            <w:jc w:val="center"/>
          </w:pPr>
          <w:r>
            <w:pict>
              <v:shape id="_x0000_i1029" type="#_x0000_t75" style="width:367.2pt;height:479.2pt">
                <v:imagedata r:id="rId40" o:title="tasaenvej_paro"/>
              </v:shape>
            </w:pict>
          </w:r>
        </w:p>
        <w:p w:rsidR="00832C32" w:rsidRDefault="005C032F" w:rsidP="00DA6CCE">
          <w:pPr>
            <w:jc w:val="both"/>
          </w:pPr>
          <w:r>
            <w:tab/>
            <w:t xml:space="preserve">En este primer mapa lo que encontramos es como a primera vista vemos que los lugares donde las tasas de envejecimiento son superiores muestran unas tasas de paro más bajas, lo cual es lógico ya que, el rasgo del envejecimiento implica población con edades altas, </w:t>
          </w:r>
          <w:r>
            <w:lastRenderedPageBreak/>
            <w:t>de los 65 en adelante, donde prácticamente el total poblacional ya está jubilado y evidentemente el paro apenas existe</w:t>
          </w:r>
          <w:r w:rsidR="00AB3ED5">
            <w:t>.</w:t>
          </w:r>
        </w:p>
        <w:p w:rsidR="005C032F" w:rsidRDefault="005C032F" w:rsidP="00DA6CCE">
          <w:pPr>
            <w:jc w:val="both"/>
          </w:pPr>
          <w:r>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EB76CA" w:rsidP="00452FBF">
          <w:pPr>
            <w:jc w:val="center"/>
          </w:pPr>
          <w:r>
            <w:pict>
              <v:shape id="_x0000_i1030" type="#_x0000_t75" style="width:372.8pt;height:488pt">
                <v:imagedata r:id="rId41" o:title="tasamasc_envej"/>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w:t>
          </w:r>
          <w:r>
            <w:lastRenderedPageBreak/>
            <w:t>social durante el periodo de septiembre de 2014 o el porcentaje de ocupación en cada uno de los sectores económicos sobre el total de actividades.</w:t>
          </w:r>
        </w:p>
        <w:p w:rsidR="00DA6CCE" w:rsidRDefault="00EB76CA" w:rsidP="00CE6A13">
          <w:pPr>
            <w:ind w:firstLine="426"/>
            <w:jc w:val="center"/>
          </w:pPr>
          <w:r>
            <w:rPr>
              <w:noProof/>
              <w:lang w:eastAsia="es-ES"/>
            </w:rPr>
            <w:pict>
              <v:shape id="_x0000_i1031" type="#_x0000_t75" style="width:357.6pt;height:451.2pt">
                <v:imagedata r:id="rId42" o:title="actividades_ecnom"/>
              </v:shape>
            </w:pict>
          </w:r>
        </w:p>
        <w:p w:rsidR="00DA6CCE" w:rsidRDefault="00DA6CCE" w:rsidP="0089418C">
          <w:pPr>
            <w:ind w:firstLine="708"/>
            <w:jc w:val="both"/>
          </w:pPr>
          <w:r>
            <w:t>En este primer mapa vemos una clara diferenciación en función de las diferentes actividades económicas desarrolladas en los municipios que se engloban en el grupo A</w:t>
          </w:r>
          <w:r w:rsidR="00085C12">
            <w:t>SOMO</w:t>
          </w:r>
          <w:r w:rsidR="00BA3F5E">
            <w:t xml:space="preserve">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EB76CA" w:rsidP="00DA6CCE">
          <w:pPr>
            <w:ind w:firstLine="284"/>
            <w:jc w:val="center"/>
          </w:pPr>
          <w:r>
            <w:lastRenderedPageBreak/>
            <w:pict>
              <v:shape id="_x0000_i1032" type="#_x0000_t75" style="width:381.6pt;height:540.8pt">
                <v:imagedata r:id="rId43" o:title="densi_tasaparo"/>
              </v:shape>
            </w:pict>
          </w:r>
        </w:p>
        <w:p w:rsidR="00DA6CCE" w:rsidRDefault="00B07BC3" w:rsidP="0089418C">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EB7E4E">
            <w:t xml:space="preserve"> </w:t>
          </w:r>
          <w:r w:rsidR="00093C75">
            <w:t xml:space="preserve">Tarazona (47,03%), Borja (19,03%) y </w:t>
          </w:r>
          <w:proofErr w:type="spellStart"/>
          <w:r w:rsidR="00093C75">
            <w:t>Mallén</w:t>
          </w:r>
          <w:proofErr w:type="spellEnd"/>
          <w:r w:rsidR="00093C75">
            <w:t xml:space="preserve"> (10,12%) </w:t>
          </w:r>
          <w:r w:rsidR="00B55AEC">
            <w:t>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 </w:t>
          </w:r>
          <w:r w:rsidR="00851169">
            <w:t>A</w:t>
          </w:r>
          <w:r w:rsidR="00093C75">
            <w:t>SOMO.</w:t>
          </w:r>
        </w:p>
        <w:p w:rsidR="00277627" w:rsidRPr="00592215" w:rsidRDefault="00277627" w:rsidP="0089418C">
          <w:pPr>
            <w:ind w:firstLine="284"/>
            <w:jc w:val="both"/>
          </w:pPr>
        </w:p>
        <w:p w:rsidR="005047FE" w:rsidRDefault="00DA6CCE" w:rsidP="00DA6CCE">
          <w:pPr>
            <w:ind w:firstLine="284"/>
            <w:jc w:val="both"/>
          </w:pPr>
          <w:r>
            <w:lastRenderedPageBreak/>
            <w:t>Pero, más allá de lo que sería conocer la tasa de paro total sobre la densidad de población en el grupo A</w:t>
          </w:r>
          <w:r w:rsidR="00D1226C">
            <w:t>S</w:t>
          </w:r>
          <w:r w:rsidR="00277627">
            <w:t>OMO</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EB76CA" w:rsidP="00452FBF">
      <w:pPr>
        <w:jc w:val="center"/>
      </w:pPr>
      <w:r>
        <w:pict>
          <v:shape id="_x0000_i1033" type="#_x0000_t75" style="width:400pt;height:535.2pt">
            <v:imagedata r:id="rId44" o:title="densi_paro"/>
          </v:shape>
        </w:pict>
      </w:r>
    </w:p>
    <w:p w:rsidR="00452FBF" w:rsidRDefault="00452FBF" w:rsidP="00452FBF">
      <w:pPr>
        <w:jc w:val="both"/>
      </w:pPr>
      <w:r>
        <w:tab/>
        <w:t xml:space="preserve">En este caso vemos como al establecer la diferenciación en el paro de hombres y mujeres encontramos </w:t>
      </w:r>
      <w:r w:rsidR="00B636B4">
        <w:t>como la mayor parte de los municipios presen</w:t>
      </w:r>
      <w:r w:rsidR="00D1226C">
        <w:t>tan cifras de paro bastante diversas ya que podemos encontrar casos de municipios donde el paro es mayoritario en hombres y viceversa además de municipios donde tan solo existe paro en mujeres o viceversa.</w:t>
      </w:r>
    </w:p>
    <w:p w:rsidR="00A954F5" w:rsidRDefault="00A954F5" w:rsidP="00A954F5">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r w:rsidR="00277627">
        <w:t xml:space="preserve">Tarazona (28,97%), Borja (9,76%) y </w:t>
      </w:r>
      <w:proofErr w:type="spellStart"/>
      <w:r w:rsidR="00277627">
        <w:t>Mallén</w:t>
      </w:r>
      <w:proofErr w:type="spellEnd"/>
      <w:r w:rsidR="00277627">
        <w:t xml:space="preserve"> (</w:t>
      </w:r>
      <w:r w:rsidR="00BC35E8">
        <w:t>4,9%</w:t>
      </w:r>
      <w:r w:rsidR="00277627">
        <w:t>).</w:t>
      </w:r>
    </w:p>
    <w:p w:rsidR="00B522B6" w:rsidRDefault="00EB76CA" w:rsidP="006C1ADA">
      <w:pPr>
        <w:jc w:val="center"/>
      </w:pPr>
      <w:r>
        <w:pict>
          <v:shape id="_x0000_i1034" type="#_x0000_t75" style="width:424.8pt;height:600.8pt">
            <v:imagedata r:id="rId45" o:title="TASAPAROMUJ_TASAFEM"/>
          </v:shape>
        </w:pict>
      </w:r>
    </w:p>
    <w:p w:rsidR="00BF1814" w:rsidRDefault="00BF1814" w:rsidP="006C1ADA">
      <w:pPr>
        <w:jc w:val="center"/>
      </w:pPr>
    </w:p>
    <w:p w:rsidR="00BF1814" w:rsidRDefault="00BF1814" w:rsidP="006C1ADA">
      <w:pPr>
        <w:jc w:val="center"/>
      </w:pP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 xml:space="preserve">las mayores tasas de paro se concentran en las áreas donde existe una densidad de población media-alta o alta. Aquellos municipios que presentan las mayores cifras de paro en hombres son: </w:t>
      </w:r>
      <w:r w:rsidR="005A1F78">
        <w:t xml:space="preserve">Tarazona (18,05), Borja (9,27%) y </w:t>
      </w:r>
      <w:proofErr w:type="spellStart"/>
      <w:r w:rsidR="005A1F78">
        <w:t>Mallén</w:t>
      </w:r>
      <w:proofErr w:type="spellEnd"/>
      <w:r w:rsidR="005A1F78">
        <w:t xml:space="preserve"> (5,12%).</w:t>
      </w:r>
    </w:p>
    <w:p w:rsidR="006958DB" w:rsidRDefault="00EB76CA" w:rsidP="007C3A15">
      <w:pPr>
        <w:jc w:val="center"/>
      </w:pPr>
      <w:r>
        <w:pict>
          <v:shape id="_x0000_i1035" type="#_x0000_t75" style="width:395.2pt;height:559.2pt">
            <v:imagedata r:id="rId46" o:title="tasamascu_tasaparohom"/>
          </v:shape>
        </w:pict>
      </w:r>
    </w:p>
    <w:p w:rsidR="0010130B" w:rsidRDefault="0010130B" w:rsidP="00591C12"/>
    <w:p w:rsidR="006E4407" w:rsidRDefault="0010130B" w:rsidP="00A744E6">
      <w:pPr>
        <w:ind w:firstLine="993"/>
        <w:jc w:val="both"/>
      </w:pPr>
      <w:r>
        <w:lastRenderedPageBreak/>
        <w:t xml:space="preserve">Otra última relación que nos resultó interesante a la hora de realizar el análisis sobre </w:t>
      </w:r>
      <w:r w:rsidR="001F60B6">
        <w:t>la tasa de paro en el grupo A</w:t>
      </w:r>
      <w:r w:rsidR="00B83F8E">
        <w:t>S</w:t>
      </w:r>
      <w:r w:rsidR="00591CE7">
        <w:t>OMO</w:t>
      </w:r>
      <w:r w:rsidR="00A51B0F">
        <w:t xml:space="preserve"> </w:t>
      </w:r>
      <w:r>
        <w:t>fue la del paro total y la tasa de masculinidad</w:t>
      </w:r>
      <w:r w:rsidRPr="0010130B">
        <w:t xml:space="preserve"> </w:t>
      </w:r>
      <w:r w:rsidR="00A744E6">
        <w:t xml:space="preserve">de cada </w:t>
      </w:r>
      <w:r>
        <w:t xml:space="preserve">municipio. </w:t>
      </w:r>
    </w:p>
    <w:p w:rsidR="0010130B" w:rsidRDefault="00EB76CA" w:rsidP="00920468">
      <w:pPr>
        <w:ind w:firstLine="567"/>
        <w:jc w:val="both"/>
      </w:pPr>
      <w:r>
        <w:pict>
          <v:shape id="_x0000_i1036" type="#_x0000_t75" style="width:411.2pt;height:580.8pt">
            <v:imagedata r:id="rId47" o:title="TASAMASC_TASAPARO"/>
          </v:shape>
        </w:pict>
      </w:r>
    </w:p>
    <w:p w:rsidR="00A51B0F" w:rsidRDefault="0010130B" w:rsidP="00600947">
      <w:pPr>
        <w:ind w:firstLine="708"/>
        <w:jc w:val="both"/>
      </w:pPr>
      <w:r>
        <w:t xml:space="preserve">Al relacionar estas variables observamos como las áreas con una tasa de masculinidad </w:t>
      </w:r>
      <w:r w:rsidR="005014DE">
        <w:t>baja o media</w:t>
      </w:r>
      <w:r w:rsidR="00A51B0F">
        <w:t xml:space="preserve">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EB76CA" w:rsidP="001F60B6">
      <w:pPr>
        <w:jc w:val="both"/>
      </w:pPr>
      <w:r>
        <w:pict>
          <v:shape id="_x0000_i1037" type="#_x0000_t75" style="width:412pt;height:582.4pt">
            <v:imagedata r:id="rId48" o:title="segsochommuj_densi"/>
          </v:shape>
        </w:pict>
      </w:r>
    </w:p>
    <w:p w:rsidR="007C3A15" w:rsidRDefault="004E34E8" w:rsidP="001F60B6">
      <w:pPr>
        <w:ind w:firstLine="424"/>
        <w:jc w:val="both"/>
      </w:pPr>
      <w:r>
        <w:t xml:space="preserve">Analizando el mapa vemos como </w:t>
      </w:r>
      <w:r w:rsidR="00B83F8E">
        <w:t xml:space="preserve">casi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600947">
        <w:t xml:space="preserve"> excepto </w:t>
      </w:r>
      <w:proofErr w:type="spellStart"/>
      <w:r w:rsidR="005014DE">
        <w:t>Añón</w:t>
      </w:r>
      <w:proofErr w:type="spellEnd"/>
      <w:r w:rsidR="005014DE">
        <w:t xml:space="preserve"> de Moncayo, Borja, Los </w:t>
      </w:r>
      <w:proofErr w:type="spellStart"/>
      <w:r w:rsidR="005014DE">
        <w:t>Fayos</w:t>
      </w:r>
      <w:proofErr w:type="spellEnd"/>
      <w:r w:rsidR="005014DE">
        <w:t xml:space="preserve">, </w:t>
      </w:r>
      <w:proofErr w:type="spellStart"/>
      <w:r w:rsidR="005014DE">
        <w:t>Mallén</w:t>
      </w:r>
      <w:proofErr w:type="spellEnd"/>
      <w:r w:rsidR="005014DE">
        <w:t xml:space="preserve">, Malón, Talamantes y </w:t>
      </w:r>
      <w:proofErr w:type="spellStart"/>
      <w:r w:rsidR="005014DE">
        <w:t>Trasmoz</w:t>
      </w:r>
      <w:proofErr w:type="spellEnd"/>
      <w:r w:rsidR="005014DE">
        <w:t>.</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DBA" w:rsidRDefault="001C7DBA" w:rsidP="005047FE">
      <w:pPr>
        <w:spacing w:after="0" w:line="240" w:lineRule="auto"/>
      </w:pPr>
      <w:r>
        <w:separator/>
      </w:r>
    </w:p>
  </w:endnote>
  <w:endnote w:type="continuationSeparator" w:id="0">
    <w:p w:rsidR="001C7DBA" w:rsidRDefault="001C7DBA"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EB76CA" w:rsidRPr="00EB76CA">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14</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EB76CA" w:rsidRPr="00EB76CA">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14</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DBA" w:rsidRDefault="001C7DBA" w:rsidP="005047FE">
      <w:pPr>
        <w:spacing w:after="0" w:line="240" w:lineRule="auto"/>
      </w:pPr>
      <w:r>
        <w:separator/>
      </w:r>
    </w:p>
  </w:footnote>
  <w:footnote w:type="continuationSeparator" w:id="0">
    <w:p w:rsidR="001C7DBA" w:rsidRDefault="001C7DBA"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3270C8" w:rsidP="00CD1578">
              <w:pPr>
                <w:pStyle w:val="Encabezado"/>
                <w:jc w:val="center"/>
                <w:rPr>
                  <w:caps/>
                  <w:color w:val="FFFFFF" w:themeColor="background1"/>
                </w:rPr>
              </w:pPr>
              <w:r>
                <w:rPr>
                  <w:caps/>
                  <w:color w:val="FFFFFF" w:themeColor="background1"/>
                </w:rPr>
                <w:t>Caracterización territorial de Tierras del Moncayo. Asociación para el Desarrollo de las Tierras del Moncayo (Asomo)</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218A7"/>
    <w:rsid w:val="000507AF"/>
    <w:rsid w:val="00055955"/>
    <w:rsid w:val="00070D7B"/>
    <w:rsid w:val="000725D3"/>
    <w:rsid w:val="00077359"/>
    <w:rsid w:val="00085C12"/>
    <w:rsid w:val="00093C75"/>
    <w:rsid w:val="000A6D47"/>
    <w:rsid w:val="000B4043"/>
    <w:rsid w:val="000B686B"/>
    <w:rsid w:val="000E2003"/>
    <w:rsid w:val="000E24E8"/>
    <w:rsid w:val="0010130B"/>
    <w:rsid w:val="00106908"/>
    <w:rsid w:val="0011532C"/>
    <w:rsid w:val="00122850"/>
    <w:rsid w:val="00125BC1"/>
    <w:rsid w:val="00162BD4"/>
    <w:rsid w:val="00172F65"/>
    <w:rsid w:val="00173249"/>
    <w:rsid w:val="00183475"/>
    <w:rsid w:val="00187242"/>
    <w:rsid w:val="00190C45"/>
    <w:rsid w:val="00191788"/>
    <w:rsid w:val="00195345"/>
    <w:rsid w:val="001C7DBA"/>
    <w:rsid w:val="001F60B6"/>
    <w:rsid w:val="0020383E"/>
    <w:rsid w:val="0022169C"/>
    <w:rsid w:val="00226733"/>
    <w:rsid w:val="00247F9F"/>
    <w:rsid w:val="00264FE6"/>
    <w:rsid w:val="002655BE"/>
    <w:rsid w:val="00273C95"/>
    <w:rsid w:val="002748A7"/>
    <w:rsid w:val="0027612C"/>
    <w:rsid w:val="00277627"/>
    <w:rsid w:val="00286287"/>
    <w:rsid w:val="00286C91"/>
    <w:rsid w:val="00287406"/>
    <w:rsid w:val="002A1ADA"/>
    <w:rsid w:val="002C3354"/>
    <w:rsid w:val="002D6CE0"/>
    <w:rsid w:val="002E0141"/>
    <w:rsid w:val="002E3D44"/>
    <w:rsid w:val="003022EF"/>
    <w:rsid w:val="00306056"/>
    <w:rsid w:val="003270C8"/>
    <w:rsid w:val="003431C8"/>
    <w:rsid w:val="00347641"/>
    <w:rsid w:val="003729DC"/>
    <w:rsid w:val="00377BFD"/>
    <w:rsid w:val="00384351"/>
    <w:rsid w:val="003A36B8"/>
    <w:rsid w:val="003B3FA0"/>
    <w:rsid w:val="003D4E91"/>
    <w:rsid w:val="003E0431"/>
    <w:rsid w:val="004015F0"/>
    <w:rsid w:val="004105C6"/>
    <w:rsid w:val="00416E44"/>
    <w:rsid w:val="00424122"/>
    <w:rsid w:val="00425194"/>
    <w:rsid w:val="00452FBF"/>
    <w:rsid w:val="00460D1F"/>
    <w:rsid w:val="004722D5"/>
    <w:rsid w:val="004B1F14"/>
    <w:rsid w:val="004E34E8"/>
    <w:rsid w:val="005014DE"/>
    <w:rsid w:val="00502CCF"/>
    <w:rsid w:val="005047FE"/>
    <w:rsid w:val="005270C3"/>
    <w:rsid w:val="00533C22"/>
    <w:rsid w:val="00565BB1"/>
    <w:rsid w:val="00591C12"/>
    <w:rsid w:val="00591CE7"/>
    <w:rsid w:val="00592215"/>
    <w:rsid w:val="005A1F78"/>
    <w:rsid w:val="005A5F81"/>
    <w:rsid w:val="005A63F9"/>
    <w:rsid w:val="005B7974"/>
    <w:rsid w:val="005C032F"/>
    <w:rsid w:val="005C7A73"/>
    <w:rsid w:val="005D76AA"/>
    <w:rsid w:val="005E1E26"/>
    <w:rsid w:val="005F081D"/>
    <w:rsid w:val="005F110C"/>
    <w:rsid w:val="005F2FC9"/>
    <w:rsid w:val="00600947"/>
    <w:rsid w:val="006032D4"/>
    <w:rsid w:val="00625167"/>
    <w:rsid w:val="006256A1"/>
    <w:rsid w:val="00641D40"/>
    <w:rsid w:val="0064433B"/>
    <w:rsid w:val="00660D14"/>
    <w:rsid w:val="006622A5"/>
    <w:rsid w:val="00677B14"/>
    <w:rsid w:val="006958DB"/>
    <w:rsid w:val="00695C58"/>
    <w:rsid w:val="0069616A"/>
    <w:rsid w:val="0069681C"/>
    <w:rsid w:val="006A183E"/>
    <w:rsid w:val="006C1ADA"/>
    <w:rsid w:val="006C2928"/>
    <w:rsid w:val="006D7F6B"/>
    <w:rsid w:val="006E4407"/>
    <w:rsid w:val="006F1599"/>
    <w:rsid w:val="006F2D85"/>
    <w:rsid w:val="006F376E"/>
    <w:rsid w:val="00716F00"/>
    <w:rsid w:val="007228FA"/>
    <w:rsid w:val="0073084C"/>
    <w:rsid w:val="00731030"/>
    <w:rsid w:val="007344D7"/>
    <w:rsid w:val="00737319"/>
    <w:rsid w:val="00746BD5"/>
    <w:rsid w:val="00753A60"/>
    <w:rsid w:val="0076505F"/>
    <w:rsid w:val="0077413A"/>
    <w:rsid w:val="007A3D6C"/>
    <w:rsid w:val="007C3A15"/>
    <w:rsid w:val="007D4708"/>
    <w:rsid w:val="00806846"/>
    <w:rsid w:val="008222AC"/>
    <w:rsid w:val="008274D8"/>
    <w:rsid w:val="00832C32"/>
    <w:rsid w:val="00840B45"/>
    <w:rsid w:val="00844DD3"/>
    <w:rsid w:val="00851169"/>
    <w:rsid w:val="008836D8"/>
    <w:rsid w:val="0089418C"/>
    <w:rsid w:val="0089728B"/>
    <w:rsid w:val="008C4BFA"/>
    <w:rsid w:val="008D4C33"/>
    <w:rsid w:val="008E143A"/>
    <w:rsid w:val="008E5F23"/>
    <w:rsid w:val="008E7AAF"/>
    <w:rsid w:val="008F1315"/>
    <w:rsid w:val="00906EF5"/>
    <w:rsid w:val="00920468"/>
    <w:rsid w:val="00923EF1"/>
    <w:rsid w:val="00924E6A"/>
    <w:rsid w:val="0092710E"/>
    <w:rsid w:val="0093213D"/>
    <w:rsid w:val="00934ACD"/>
    <w:rsid w:val="00943066"/>
    <w:rsid w:val="00947CA6"/>
    <w:rsid w:val="009508AE"/>
    <w:rsid w:val="009704C6"/>
    <w:rsid w:val="00974B32"/>
    <w:rsid w:val="009959FE"/>
    <w:rsid w:val="009C0390"/>
    <w:rsid w:val="009C4330"/>
    <w:rsid w:val="009D7D21"/>
    <w:rsid w:val="009E04F8"/>
    <w:rsid w:val="009F21D0"/>
    <w:rsid w:val="00A06A74"/>
    <w:rsid w:val="00A153AD"/>
    <w:rsid w:val="00A33934"/>
    <w:rsid w:val="00A51B0F"/>
    <w:rsid w:val="00A744E6"/>
    <w:rsid w:val="00A84D47"/>
    <w:rsid w:val="00A870E9"/>
    <w:rsid w:val="00A954F5"/>
    <w:rsid w:val="00AB2215"/>
    <w:rsid w:val="00AB3ED5"/>
    <w:rsid w:val="00AD3651"/>
    <w:rsid w:val="00AE2FAD"/>
    <w:rsid w:val="00AF7330"/>
    <w:rsid w:val="00B01298"/>
    <w:rsid w:val="00B07BC3"/>
    <w:rsid w:val="00B11D9E"/>
    <w:rsid w:val="00B12E0D"/>
    <w:rsid w:val="00B26632"/>
    <w:rsid w:val="00B30CAE"/>
    <w:rsid w:val="00B32B00"/>
    <w:rsid w:val="00B50C23"/>
    <w:rsid w:val="00B522B6"/>
    <w:rsid w:val="00B55AEC"/>
    <w:rsid w:val="00B56B75"/>
    <w:rsid w:val="00B636B4"/>
    <w:rsid w:val="00B7067C"/>
    <w:rsid w:val="00B8002C"/>
    <w:rsid w:val="00B808EA"/>
    <w:rsid w:val="00B83F8E"/>
    <w:rsid w:val="00B96BF7"/>
    <w:rsid w:val="00BA3F5E"/>
    <w:rsid w:val="00BB47F5"/>
    <w:rsid w:val="00BB78C6"/>
    <w:rsid w:val="00BC35E8"/>
    <w:rsid w:val="00BC4612"/>
    <w:rsid w:val="00BD5C8F"/>
    <w:rsid w:val="00BE4020"/>
    <w:rsid w:val="00BE5550"/>
    <w:rsid w:val="00BF1814"/>
    <w:rsid w:val="00C22CED"/>
    <w:rsid w:val="00C33F8E"/>
    <w:rsid w:val="00C434E8"/>
    <w:rsid w:val="00C45E03"/>
    <w:rsid w:val="00C47ACF"/>
    <w:rsid w:val="00C6493A"/>
    <w:rsid w:val="00C85969"/>
    <w:rsid w:val="00CB79F6"/>
    <w:rsid w:val="00CD1578"/>
    <w:rsid w:val="00CE55AE"/>
    <w:rsid w:val="00CE6A13"/>
    <w:rsid w:val="00CE7FA3"/>
    <w:rsid w:val="00CF506D"/>
    <w:rsid w:val="00D02C05"/>
    <w:rsid w:val="00D1226C"/>
    <w:rsid w:val="00D139A2"/>
    <w:rsid w:val="00D16764"/>
    <w:rsid w:val="00D2402F"/>
    <w:rsid w:val="00D37867"/>
    <w:rsid w:val="00D73EFB"/>
    <w:rsid w:val="00D9368B"/>
    <w:rsid w:val="00DA02BE"/>
    <w:rsid w:val="00DA0DF8"/>
    <w:rsid w:val="00DA6CCE"/>
    <w:rsid w:val="00DB2C44"/>
    <w:rsid w:val="00DB3992"/>
    <w:rsid w:val="00DC45B6"/>
    <w:rsid w:val="00DF3ECE"/>
    <w:rsid w:val="00E278F1"/>
    <w:rsid w:val="00E44EC7"/>
    <w:rsid w:val="00E52453"/>
    <w:rsid w:val="00E57B3A"/>
    <w:rsid w:val="00E643A6"/>
    <w:rsid w:val="00E66DCA"/>
    <w:rsid w:val="00E73376"/>
    <w:rsid w:val="00E7420F"/>
    <w:rsid w:val="00E753DC"/>
    <w:rsid w:val="00E81C69"/>
    <w:rsid w:val="00E87CD9"/>
    <w:rsid w:val="00EA5905"/>
    <w:rsid w:val="00EB76CA"/>
    <w:rsid w:val="00EB7E4E"/>
    <w:rsid w:val="00EC5221"/>
    <w:rsid w:val="00EE4D4D"/>
    <w:rsid w:val="00EE76FE"/>
    <w:rsid w:val="00EF445D"/>
    <w:rsid w:val="00F00975"/>
    <w:rsid w:val="00F06D75"/>
    <w:rsid w:val="00F227F3"/>
    <w:rsid w:val="00F34F01"/>
    <w:rsid w:val="00F36D27"/>
    <w:rsid w:val="00F54164"/>
    <w:rsid w:val="00F6732C"/>
    <w:rsid w:val="00F7027F"/>
    <w:rsid w:val="00F74E34"/>
    <w:rsid w:val="00FA17CC"/>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195049986">
      <w:bodyDiv w:val="1"/>
      <w:marLeft w:val="0"/>
      <w:marRight w:val="0"/>
      <w:marTop w:val="0"/>
      <w:marBottom w:val="0"/>
      <w:divBdr>
        <w:top w:val="none" w:sz="0" w:space="0" w:color="auto"/>
        <w:left w:val="none" w:sz="0" w:space="0" w:color="auto"/>
        <w:bottom w:val="none" w:sz="0" w:space="0" w:color="auto"/>
        <w:right w:val="none" w:sz="0" w:space="0" w:color="auto"/>
      </w:divBdr>
    </w:div>
    <w:div w:id="225607219">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43922829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38928568">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49124126">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28287974">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25531140">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315719825">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(ASOMO)</a:t>
            </a:r>
            <a:endParaRPr lang="es-ES" sz="1400"/>
          </a:p>
        </c:rich>
      </c:tx>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1.8952516812716529E-2</c:v>
                </c:pt>
                <c:pt idx="1">
                  <c:v>2.0616805923510631E-2</c:v>
                </c:pt>
                <c:pt idx="2">
                  <c:v>2.1058352014129474E-2</c:v>
                </c:pt>
                <c:pt idx="3">
                  <c:v>2.2145234698729706E-2</c:v>
                </c:pt>
                <c:pt idx="4">
                  <c:v>2.2552815705454792E-2</c:v>
                </c:pt>
                <c:pt idx="5">
                  <c:v>2.7545683037837103E-2</c:v>
                </c:pt>
                <c:pt idx="6">
                  <c:v>3.0738400923850284E-2</c:v>
                </c:pt>
                <c:pt idx="7">
                  <c:v>3.6410569934107739E-2</c:v>
                </c:pt>
                <c:pt idx="8">
                  <c:v>3.3931118809863457E-2</c:v>
                </c:pt>
                <c:pt idx="9">
                  <c:v>3.6274709598532712E-2</c:v>
                </c:pt>
                <c:pt idx="10">
                  <c:v>3.2334759866856869E-2</c:v>
                </c:pt>
                <c:pt idx="11">
                  <c:v>2.7070171863324503E-2</c:v>
                </c:pt>
                <c:pt idx="12">
                  <c:v>2.6288974933768087E-2</c:v>
                </c:pt>
                <c:pt idx="13">
                  <c:v>2.7443787786155832E-2</c:v>
                </c:pt>
                <c:pt idx="14">
                  <c:v>2.3673663473948781E-2</c:v>
                </c:pt>
                <c:pt idx="15">
                  <c:v>2.8496705386862307E-2</c:v>
                </c:pt>
                <c:pt idx="16">
                  <c:v>2.4726581074655255E-2</c:v>
                </c:pt>
                <c:pt idx="17">
                  <c:v>1.6303240269003465E-2</c:v>
                </c:pt>
                <c:pt idx="18">
                  <c:v>8.2535153861830034E-3</c:v>
                </c:pt>
                <c:pt idx="19">
                  <c:v>2.6832416276068201E-3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-2.2349025202092251E-2</c:v>
                </c:pt>
                <c:pt idx="1">
                  <c:v>-2.442089531961144E-2</c:v>
                </c:pt>
                <c:pt idx="2">
                  <c:v>-2.4217104816248895E-2</c:v>
                </c:pt>
                <c:pt idx="3">
                  <c:v>-2.2043339447048435E-2</c:v>
                </c:pt>
                <c:pt idx="4">
                  <c:v>-2.4217104816248895E-2</c:v>
                </c:pt>
                <c:pt idx="5">
                  <c:v>-3.0432715168806468E-2</c:v>
                </c:pt>
                <c:pt idx="6">
                  <c:v>-3.6444535018001496E-2</c:v>
                </c:pt>
                <c:pt idx="7">
                  <c:v>-4.0452414917464846E-2</c:v>
                </c:pt>
                <c:pt idx="8">
                  <c:v>-4.2558250118877795E-2</c:v>
                </c:pt>
                <c:pt idx="9">
                  <c:v>-4.1607227769852595E-2</c:v>
                </c:pt>
                <c:pt idx="10">
                  <c:v>-3.6682290605257795E-2</c:v>
                </c:pt>
                <c:pt idx="11">
                  <c:v>-3.1859248692344272E-2</c:v>
                </c:pt>
                <c:pt idx="12">
                  <c:v>-2.7681543373412134E-2</c:v>
                </c:pt>
                <c:pt idx="13">
                  <c:v>-2.8496705386862307E-2</c:v>
                </c:pt>
                <c:pt idx="14">
                  <c:v>-2.2450920453773521E-2</c:v>
                </c:pt>
                <c:pt idx="15">
                  <c:v>-2.3401942802798722E-2</c:v>
                </c:pt>
                <c:pt idx="16">
                  <c:v>-1.9258202567760341E-2</c:v>
                </c:pt>
                <c:pt idx="17">
                  <c:v>-9.578153658039535E-3</c:v>
                </c:pt>
                <c:pt idx="18">
                  <c:v>-3.8040893961008085E-3</c:v>
                </c:pt>
                <c:pt idx="19">
                  <c:v>-5.4344134230011553E-4</c:v>
                </c:pt>
              </c:numCache>
            </c:numRef>
          </c:val>
        </c:ser>
        <c:dLbls>
          <c:showLegendKey val="0"/>
          <c:showVal val="0"/>
          <c:showCatName val="0"/>
          <c:showSerName val="0"/>
          <c:showPercent val="0"/>
          <c:showBubbleSize val="0"/>
        </c:dLbls>
        <c:gapWidth val="150"/>
        <c:axId val="33198080"/>
        <c:axId val="32006144"/>
      </c:barChart>
      <c:catAx>
        <c:axId val="33198080"/>
        <c:scaling>
          <c:orientation val="minMax"/>
        </c:scaling>
        <c:delete val="0"/>
        <c:axPos val="l"/>
        <c:majorTickMark val="out"/>
        <c:minorTickMark val="none"/>
        <c:tickLblPos val="low"/>
        <c:crossAx val="32006144"/>
        <c:crosses val="autoZero"/>
        <c:auto val="1"/>
        <c:lblAlgn val="ctr"/>
        <c:lblOffset val="100"/>
        <c:noMultiLvlLbl val="0"/>
      </c:catAx>
      <c:valAx>
        <c:axId val="32006144"/>
        <c:scaling>
          <c:orientation val="minMax"/>
        </c:scaling>
        <c:delete val="1"/>
        <c:axPos val="b"/>
        <c:majorGridlines/>
        <c:numFmt formatCode="General" sourceLinked="1"/>
        <c:majorTickMark val="out"/>
        <c:minorTickMark val="none"/>
        <c:tickLblPos val="nextTo"/>
        <c:crossAx val="33198080"/>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ASOMO</a:t>
            </a:r>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8793327735256866E-2"/>
          <c:y val="0.13321296751968503"/>
          <c:w val="0.89716821072628161"/>
          <c:h val="0.62717919537401579"/>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37</c:v>
                </c:pt>
                <c:pt idx="1">
                  <c:v>202</c:v>
                </c:pt>
                <c:pt idx="2">
                  <c:v>383</c:v>
                </c:pt>
                <c:pt idx="3">
                  <c:v>516</c:v>
                </c:pt>
                <c:pt idx="4">
                  <c:v>654</c:v>
                </c:pt>
                <c:pt idx="5">
                  <c:v>732</c:v>
                </c:pt>
                <c:pt idx="6">
                  <c:v>666</c:v>
                </c:pt>
                <c:pt idx="7">
                  <c:v>581</c:v>
                </c:pt>
                <c:pt idx="8">
                  <c:v>451</c:v>
                </c:pt>
                <c:pt idx="9">
                  <c:v>265</c:v>
                </c:pt>
                <c:pt idx="10">
                  <c:v>26</c:v>
                </c:pt>
                <c:pt idx="11">
                  <c:v>4</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16</c:v>
                </c:pt>
                <c:pt idx="1">
                  <c:v>119</c:v>
                </c:pt>
                <c:pt idx="2">
                  <c:v>300</c:v>
                </c:pt>
                <c:pt idx="3">
                  <c:v>449</c:v>
                </c:pt>
                <c:pt idx="4">
                  <c:v>588</c:v>
                </c:pt>
                <c:pt idx="5">
                  <c:v>611</c:v>
                </c:pt>
                <c:pt idx="6">
                  <c:v>566</c:v>
                </c:pt>
                <c:pt idx="7">
                  <c:v>524</c:v>
                </c:pt>
                <c:pt idx="8">
                  <c:v>308</c:v>
                </c:pt>
                <c:pt idx="9">
                  <c:v>170</c:v>
                </c:pt>
                <c:pt idx="10">
                  <c:v>30</c:v>
                </c:pt>
                <c:pt idx="11">
                  <c:v>6</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53</c:v>
                </c:pt>
                <c:pt idx="1">
                  <c:v>321</c:v>
                </c:pt>
                <c:pt idx="2">
                  <c:v>683</c:v>
                </c:pt>
                <c:pt idx="3">
                  <c:v>965</c:v>
                </c:pt>
                <c:pt idx="4">
                  <c:v>1242</c:v>
                </c:pt>
                <c:pt idx="5">
                  <c:v>1343</c:v>
                </c:pt>
                <c:pt idx="6">
                  <c:v>1232</c:v>
                </c:pt>
                <c:pt idx="7">
                  <c:v>1105</c:v>
                </c:pt>
                <c:pt idx="8">
                  <c:v>759</c:v>
                </c:pt>
                <c:pt idx="9">
                  <c:v>435</c:v>
                </c:pt>
                <c:pt idx="10">
                  <c:v>56</c:v>
                </c:pt>
                <c:pt idx="11">
                  <c:v>10</c:v>
                </c:pt>
              </c:numCache>
            </c:numRef>
          </c:val>
        </c:ser>
        <c:dLbls>
          <c:showLegendKey val="0"/>
          <c:showVal val="0"/>
          <c:showCatName val="0"/>
          <c:showSerName val="0"/>
          <c:showPercent val="0"/>
          <c:showBubbleSize val="0"/>
        </c:dLbls>
        <c:gapWidth val="150"/>
        <c:axId val="38562304"/>
        <c:axId val="33134208"/>
      </c:barChart>
      <c:catAx>
        <c:axId val="38562304"/>
        <c:scaling>
          <c:orientation val="minMax"/>
        </c:scaling>
        <c:delete val="0"/>
        <c:axPos val="b"/>
        <c:majorTickMark val="out"/>
        <c:minorTickMark val="none"/>
        <c:tickLblPos val="nextTo"/>
        <c:crossAx val="33134208"/>
        <c:crosses val="autoZero"/>
        <c:auto val="1"/>
        <c:lblAlgn val="ctr"/>
        <c:lblOffset val="100"/>
        <c:noMultiLvlLbl val="0"/>
      </c:catAx>
      <c:valAx>
        <c:axId val="33134208"/>
        <c:scaling>
          <c:orientation val="minMax"/>
        </c:scaling>
        <c:delete val="0"/>
        <c:axPos val="l"/>
        <c:majorGridlines/>
        <c:numFmt formatCode="General" sourceLinked="1"/>
        <c:majorTickMark val="out"/>
        <c:minorTickMark val="none"/>
        <c:tickLblPos val="nextTo"/>
        <c:crossAx val="38562304"/>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ASOMO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1726450860309127E-2"/>
          <c:y val="0.11966496581019476"/>
          <c:w val="0.90281058617672794"/>
          <c:h val="0.62811625828843765"/>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36</c:v>
                </c:pt>
                <c:pt idx="1">
                  <c:v>197</c:v>
                </c:pt>
                <c:pt idx="2">
                  <c:v>371</c:v>
                </c:pt>
                <c:pt idx="3">
                  <c:v>527</c:v>
                </c:pt>
                <c:pt idx="4">
                  <c:v>651</c:v>
                </c:pt>
                <c:pt idx="5">
                  <c:v>713</c:v>
                </c:pt>
                <c:pt idx="6">
                  <c:v>652</c:v>
                </c:pt>
                <c:pt idx="7">
                  <c:v>574</c:v>
                </c:pt>
                <c:pt idx="8">
                  <c:v>440</c:v>
                </c:pt>
                <c:pt idx="9">
                  <c:v>273</c:v>
                </c:pt>
                <c:pt idx="10">
                  <c:v>24</c:v>
                </c:pt>
                <c:pt idx="11">
                  <c:v>3</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11</c:v>
                </c:pt>
                <c:pt idx="1">
                  <c:v>117</c:v>
                </c:pt>
                <c:pt idx="2">
                  <c:v>307</c:v>
                </c:pt>
                <c:pt idx="3">
                  <c:v>459</c:v>
                </c:pt>
                <c:pt idx="4">
                  <c:v>591</c:v>
                </c:pt>
                <c:pt idx="5">
                  <c:v>600</c:v>
                </c:pt>
                <c:pt idx="6">
                  <c:v>569</c:v>
                </c:pt>
                <c:pt idx="7">
                  <c:v>509</c:v>
                </c:pt>
                <c:pt idx="8">
                  <c:v>290</c:v>
                </c:pt>
                <c:pt idx="9">
                  <c:v>175</c:v>
                </c:pt>
                <c:pt idx="10">
                  <c:v>28</c:v>
                </c:pt>
                <c:pt idx="11">
                  <c:v>8</c:v>
                </c:pt>
              </c:numCache>
            </c:numRef>
          </c:val>
        </c:ser>
        <c:dLbls>
          <c:showLegendKey val="0"/>
          <c:showVal val="0"/>
          <c:showCatName val="0"/>
          <c:showSerName val="0"/>
          <c:showPercent val="0"/>
          <c:showBubbleSize val="0"/>
        </c:dLbls>
        <c:gapWidth val="150"/>
        <c:axId val="38561792"/>
        <c:axId val="33135936"/>
      </c:barChart>
      <c:catAx>
        <c:axId val="38561792"/>
        <c:scaling>
          <c:orientation val="minMax"/>
        </c:scaling>
        <c:delete val="0"/>
        <c:axPos val="b"/>
        <c:majorTickMark val="out"/>
        <c:minorTickMark val="none"/>
        <c:tickLblPos val="nextTo"/>
        <c:crossAx val="33135936"/>
        <c:crosses val="autoZero"/>
        <c:auto val="1"/>
        <c:lblAlgn val="ctr"/>
        <c:lblOffset val="100"/>
        <c:noMultiLvlLbl val="0"/>
      </c:catAx>
      <c:valAx>
        <c:axId val="33135936"/>
        <c:scaling>
          <c:orientation val="minMax"/>
        </c:scaling>
        <c:delete val="0"/>
        <c:axPos val="l"/>
        <c:majorGridlines/>
        <c:numFmt formatCode="General" sourceLinked="1"/>
        <c:majorTickMark val="out"/>
        <c:minorTickMark val="none"/>
        <c:tickLblPos val="nextTo"/>
        <c:crossAx val="3856179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9.4297574425628305E-2"/>
          <c:y val="0.10726573744814157"/>
          <c:w val="0.58678119269765938"/>
          <c:h val="0.74699936156629065"/>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ASOMO</c:v>
                  </c:pt>
                </c:lvl>
              </c:multiLvlStrCache>
            </c:multiLvlStrRef>
          </c:cat>
          <c:val>
            <c:numRef>
              <c:f>'Tabla régimen-actividad JUN'!$B$9:$B$11</c:f>
              <c:numCache>
                <c:formatCode>General</c:formatCode>
                <c:ptCount val="2"/>
                <c:pt idx="0">
                  <c:v>650</c:v>
                </c:pt>
                <c:pt idx="1">
                  <c:v>359</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ASOMO</c:v>
                  </c:pt>
                </c:lvl>
              </c:multiLvlStrCache>
            </c:multiLvlStrRef>
          </c:cat>
          <c:val>
            <c:numRef>
              <c:f>'Tabla régimen-actividad JUN'!$C$9:$C$11</c:f>
              <c:numCache>
                <c:formatCode>General</c:formatCode>
                <c:ptCount val="2"/>
                <c:pt idx="0">
                  <c:v>258</c:v>
                </c:pt>
                <c:pt idx="1">
                  <c:v>1957</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ASOMO</c:v>
                  </c:pt>
                </c:lvl>
              </c:multiLvlStrCache>
            </c:multiLvlStrRef>
          </c:cat>
          <c:val>
            <c:numRef>
              <c:f>'Tabla régimen-actividad JUN'!$D$9:$D$11</c:f>
              <c:numCache>
                <c:formatCode>General</c:formatCode>
                <c:ptCount val="2"/>
                <c:pt idx="0">
                  <c:v>323</c:v>
                </c:pt>
                <c:pt idx="1">
                  <c:v>227</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ASOMO</c:v>
                  </c:pt>
                </c:lvl>
              </c:multiLvlStrCache>
            </c:multiLvlStrRef>
          </c:cat>
          <c:val>
            <c:numRef>
              <c:f>'Tabla régimen-actividad JUN'!$E$9:$E$11</c:f>
              <c:numCache>
                <c:formatCode>General</c:formatCode>
                <c:ptCount val="2"/>
                <c:pt idx="0">
                  <c:v>1227</c:v>
                </c:pt>
                <c:pt idx="1">
                  <c:v>3124</c:v>
                </c:pt>
              </c:numCache>
            </c:numRef>
          </c:val>
        </c:ser>
        <c:dLbls>
          <c:showLegendKey val="0"/>
          <c:showVal val="0"/>
          <c:showCatName val="0"/>
          <c:showSerName val="0"/>
          <c:showPercent val="0"/>
          <c:showBubbleSize val="0"/>
        </c:dLbls>
        <c:gapWidth val="150"/>
        <c:shape val="box"/>
        <c:axId val="38563328"/>
        <c:axId val="38757504"/>
        <c:axId val="0"/>
      </c:bar3DChart>
      <c:catAx>
        <c:axId val="38563328"/>
        <c:scaling>
          <c:orientation val="minMax"/>
        </c:scaling>
        <c:delete val="0"/>
        <c:axPos val="b"/>
        <c:majorTickMark val="out"/>
        <c:minorTickMark val="none"/>
        <c:tickLblPos val="nextTo"/>
        <c:crossAx val="38757504"/>
        <c:crosses val="autoZero"/>
        <c:auto val="1"/>
        <c:lblAlgn val="ctr"/>
        <c:lblOffset val="100"/>
        <c:noMultiLvlLbl val="0"/>
      </c:catAx>
      <c:valAx>
        <c:axId val="38757504"/>
        <c:scaling>
          <c:orientation val="minMax"/>
        </c:scaling>
        <c:delete val="0"/>
        <c:axPos val="l"/>
        <c:majorGridlines/>
        <c:numFmt formatCode="General" sourceLinked="1"/>
        <c:majorTickMark val="out"/>
        <c:minorTickMark val="none"/>
        <c:tickLblPos val="nextTo"/>
        <c:crossAx val="38563328"/>
        <c:crosses val="autoZero"/>
        <c:crossBetween val="between"/>
      </c:valAx>
    </c:plotArea>
    <c:legend>
      <c:legendPos val="b"/>
      <c:layout>
        <c:manualLayout>
          <c:xMode val="edge"/>
          <c:yMode val="edge"/>
          <c:x val="0.7059382078524431"/>
          <c:y val="0.1577089154178308"/>
          <c:w val="0.24522974867867547"/>
          <c:h val="0.74484484802302942"/>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0481756186726663E-2"/>
          <c:y val="0.1246329807418651"/>
          <c:w val="0.8905003866704162"/>
          <c:h val="0.62052432169623373"/>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ASOMO</c:v>
                  </c:pt>
                </c:lvl>
              </c:multiLvlStrCache>
            </c:multiLvlStrRef>
          </c:cat>
          <c:val>
            <c:numRef>
              <c:f>'Gráfico altas régimen y sexo'!$C$9:$C$12</c:f>
              <c:numCache>
                <c:formatCode>General</c:formatCode>
                <c:ptCount val="2"/>
                <c:pt idx="0">
                  <c:v>2452</c:v>
                </c:pt>
                <c:pt idx="1">
                  <c:v>5752</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ASOMO</c:v>
                  </c:pt>
                </c:lvl>
              </c:multiLvlStrCache>
            </c:multiLvlStrRef>
          </c:cat>
          <c:val>
            <c:numRef>
              <c:f>'Gráfico altas régimen y sexo'!$D$9:$D$12</c:f>
              <c:numCache>
                <c:formatCode>General</c:formatCode>
                <c:ptCount val="2"/>
                <c:pt idx="0">
                  <c:v>1632</c:v>
                </c:pt>
                <c:pt idx="1">
                  <c:v>2885</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ASOMO</c:v>
                  </c:pt>
                </c:lvl>
              </c:multiLvlStrCache>
            </c:multiLvlStrRef>
          </c:cat>
          <c:val>
            <c:numRef>
              <c:f>'Gráfico altas régimen y sexo'!$E$9:$E$12</c:f>
              <c:numCache>
                <c:formatCode>General</c:formatCode>
                <c:ptCount val="2"/>
                <c:pt idx="0">
                  <c:v>820</c:v>
                </c:pt>
                <c:pt idx="1">
                  <c:v>2867</c:v>
                </c:pt>
              </c:numCache>
            </c:numRef>
          </c:val>
        </c:ser>
        <c:dLbls>
          <c:showLegendKey val="0"/>
          <c:showVal val="0"/>
          <c:showCatName val="0"/>
          <c:showSerName val="0"/>
          <c:showPercent val="0"/>
          <c:showBubbleSize val="0"/>
        </c:dLbls>
        <c:gapWidth val="150"/>
        <c:shape val="box"/>
        <c:axId val="38728704"/>
        <c:axId val="38759232"/>
        <c:axId val="0"/>
      </c:bar3DChart>
      <c:catAx>
        <c:axId val="38728704"/>
        <c:scaling>
          <c:orientation val="minMax"/>
        </c:scaling>
        <c:delete val="0"/>
        <c:axPos val="b"/>
        <c:majorTickMark val="out"/>
        <c:minorTickMark val="none"/>
        <c:tickLblPos val="nextTo"/>
        <c:crossAx val="38759232"/>
        <c:crosses val="autoZero"/>
        <c:auto val="1"/>
        <c:lblAlgn val="ctr"/>
        <c:lblOffset val="100"/>
        <c:noMultiLvlLbl val="0"/>
      </c:catAx>
      <c:valAx>
        <c:axId val="38759232"/>
        <c:scaling>
          <c:orientation val="minMax"/>
        </c:scaling>
        <c:delete val="0"/>
        <c:axPos val="l"/>
        <c:majorGridlines/>
        <c:numFmt formatCode="General" sourceLinked="1"/>
        <c:majorTickMark val="out"/>
        <c:minorTickMark val="none"/>
        <c:tickLblPos val="nextTo"/>
        <c:crossAx val="3872870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ASOMO</a:t>
            </a:r>
          </a:p>
        </c:rich>
      </c:tx>
      <c:overlay val="1"/>
    </c:title>
    <c:autoTitleDeleted val="0"/>
    <c:pivotFmts>
      <c:pivotFmt>
        <c:idx val="0"/>
      </c:pivotFmt>
      <c:pivotFmt>
        <c:idx val="1"/>
      </c:pivotFmt>
      <c:pivotFmt>
        <c:idx val="2"/>
      </c:pivotFmt>
    </c:pivotFmts>
    <c:plotArea>
      <c:layout>
        <c:manualLayout>
          <c:layoutTarget val="inner"/>
          <c:xMode val="edge"/>
          <c:yMode val="edge"/>
          <c:x val="9.6630232076253625E-2"/>
          <c:y val="0.14448021684205362"/>
          <c:w val="0.87752390326209229"/>
          <c:h val="0.66291179139990675"/>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41958</c:v>
                </c:pt>
                <c:pt idx="1">
                  <c:v>39819</c:v>
                </c:pt>
                <c:pt idx="2">
                  <c:v>40773</c:v>
                </c:pt>
                <c:pt idx="3">
                  <c:v>41512</c:v>
                </c:pt>
                <c:pt idx="4">
                  <c:v>42492</c:v>
                </c:pt>
                <c:pt idx="5">
                  <c:v>43668</c:v>
                </c:pt>
                <c:pt idx="6">
                  <c:v>39761</c:v>
                </c:pt>
                <c:pt idx="7">
                  <c:v>34890</c:v>
                </c:pt>
                <c:pt idx="8">
                  <c:v>31251</c:v>
                </c:pt>
                <c:pt idx="9">
                  <c:v>29152</c:v>
                </c:pt>
                <c:pt idx="10">
                  <c:v>28349</c:v>
                </c:pt>
                <c:pt idx="11">
                  <c:v>29723</c:v>
                </c:pt>
                <c:pt idx="12">
                  <c:v>29442</c:v>
                </c:pt>
              </c:numCache>
            </c:numRef>
          </c:val>
          <c:smooth val="0"/>
        </c:ser>
        <c:dLbls>
          <c:showLegendKey val="0"/>
          <c:showVal val="0"/>
          <c:showCatName val="0"/>
          <c:showSerName val="0"/>
          <c:showPercent val="0"/>
          <c:showBubbleSize val="0"/>
        </c:dLbls>
        <c:marker val="1"/>
        <c:smooth val="0"/>
        <c:axId val="33198592"/>
        <c:axId val="32008448"/>
      </c:lineChart>
      <c:catAx>
        <c:axId val="33198592"/>
        <c:scaling>
          <c:orientation val="minMax"/>
        </c:scaling>
        <c:delete val="0"/>
        <c:axPos val="b"/>
        <c:majorTickMark val="out"/>
        <c:minorTickMark val="none"/>
        <c:tickLblPos val="nextTo"/>
        <c:crossAx val="32008448"/>
        <c:crosses val="autoZero"/>
        <c:auto val="1"/>
        <c:lblAlgn val="ctr"/>
        <c:lblOffset val="100"/>
        <c:noMultiLvlLbl val="0"/>
      </c:catAx>
      <c:valAx>
        <c:axId val="32008448"/>
        <c:scaling>
          <c:orientation val="minMax"/>
        </c:scaling>
        <c:delete val="0"/>
        <c:axPos val="l"/>
        <c:majorGridlines/>
        <c:numFmt formatCode="General" sourceLinked="1"/>
        <c:majorTickMark val="out"/>
        <c:minorTickMark val="none"/>
        <c:tickLblPos val="nextTo"/>
        <c:crossAx val="33198592"/>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a:t>
            </a:r>
            <a:endParaRPr lang="en-US" sz="1400"/>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562</c:v>
                </c:pt>
                <c:pt idx="1">
                  <c:v>4624</c:v>
                </c:pt>
                <c:pt idx="2">
                  <c:v>2489</c:v>
                </c:pt>
                <c:pt idx="3">
                  <c:v>10904</c:v>
                </c:pt>
                <c:pt idx="4">
                  <c:v>0</c:v>
                </c:pt>
                <c:pt idx="5">
                  <c:v>10863</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7</c:v>
                </c:pt>
                <c:pt idx="1">
                  <c:v>19</c:v>
                </c:pt>
                <c:pt idx="2">
                  <c:v>3</c:v>
                </c:pt>
                <c:pt idx="3">
                  <c:v>4</c:v>
                </c:pt>
                <c:pt idx="4">
                  <c:v>0</c:v>
                </c:pt>
                <c:pt idx="5">
                  <c:v>1</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(ASOMO)</a:t>
            </a:r>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2280871993540783E-2"/>
          <c:y val="0.10519999850090134"/>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ASOMO</c:v>
                </c:pt>
              </c:strCache>
            </c:strRef>
          </c:cat>
          <c:val>
            <c:numRef>
              <c:f>'nacimientos grupo'!$B$7:$B$8</c:f>
              <c:numCache>
                <c:formatCode>General</c:formatCode>
                <c:ptCount val="1"/>
                <c:pt idx="0">
                  <c:v>205</c:v>
                </c:pt>
              </c:numCache>
            </c:numRef>
          </c:val>
        </c:ser>
        <c:ser>
          <c:idx val="1"/>
          <c:order val="1"/>
          <c:tx>
            <c:strRef>
              <c:f>'nacimientos grupo'!$C$5:$C$6</c:f>
              <c:strCache>
                <c:ptCount val="1"/>
                <c:pt idx="0">
                  <c:v>Año 2011</c:v>
                </c:pt>
              </c:strCache>
            </c:strRef>
          </c:tx>
          <c:invertIfNegative val="0"/>
          <c:cat>
            <c:strRef>
              <c:f>'nacimientos grupo'!$A$7:$A$8</c:f>
              <c:strCache>
                <c:ptCount val="1"/>
                <c:pt idx="0">
                  <c:v>ASOMO</c:v>
                </c:pt>
              </c:strCache>
            </c:strRef>
          </c:cat>
          <c:val>
            <c:numRef>
              <c:f>'nacimientos grupo'!$C$7:$C$8</c:f>
              <c:numCache>
                <c:formatCode>General</c:formatCode>
                <c:ptCount val="1"/>
                <c:pt idx="0">
                  <c:v>244</c:v>
                </c:pt>
              </c:numCache>
            </c:numRef>
          </c:val>
        </c:ser>
        <c:ser>
          <c:idx val="2"/>
          <c:order val="2"/>
          <c:tx>
            <c:strRef>
              <c:f>'nacimientos grupo'!$D$5:$D$6</c:f>
              <c:strCache>
                <c:ptCount val="1"/>
                <c:pt idx="0">
                  <c:v>Año 2010</c:v>
                </c:pt>
              </c:strCache>
            </c:strRef>
          </c:tx>
          <c:invertIfNegative val="0"/>
          <c:cat>
            <c:strRef>
              <c:f>'nacimientos grupo'!$A$7:$A$8</c:f>
              <c:strCache>
                <c:ptCount val="1"/>
                <c:pt idx="0">
                  <c:v>ASOMO</c:v>
                </c:pt>
              </c:strCache>
            </c:strRef>
          </c:cat>
          <c:val>
            <c:numRef>
              <c:f>'nacimientos grupo'!$D$7:$D$8</c:f>
              <c:numCache>
                <c:formatCode>General</c:formatCode>
                <c:ptCount val="1"/>
                <c:pt idx="0">
                  <c:v>262</c:v>
                </c:pt>
              </c:numCache>
            </c:numRef>
          </c:val>
        </c:ser>
        <c:ser>
          <c:idx val="3"/>
          <c:order val="3"/>
          <c:tx>
            <c:strRef>
              <c:f>'nacimientos grupo'!$E$5:$E$6</c:f>
              <c:strCache>
                <c:ptCount val="1"/>
                <c:pt idx="0">
                  <c:v>Año 2009</c:v>
                </c:pt>
              </c:strCache>
            </c:strRef>
          </c:tx>
          <c:invertIfNegative val="0"/>
          <c:cat>
            <c:strRef>
              <c:f>'nacimientos grupo'!$A$7:$A$8</c:f>
              <c:strCache>
                <c:ptCount val="1"/>
                <c:pt idx="0">
                  <c:v>ASOMO</c:v>
                </c:pt>
              </c:strCache>
            </c:strRef>
          </c:cat>
          <c:val>
            <c:numRef>
              <c:f>'nacimientos grupo'!$E$7:$E$8</c:f>
              <c:numCache>
                <c:formatCode>General</c:formatCode>
                <c:ptCount val="1"/>
                <c:pt idx="0">
                  <c:v>253</c:v>
                </c:pt>
              </c:numCache>
            </c:numRef>
          </c:val>
        </c:ser>
        <c:ser>
          <c:idx val="4"/>
          <c:order val="4"/>
          <c:tx>
            <c:strRef>
              <c:f>'nacimientos grupo'!$F$5:$F$6</c:f>
              <c:strCache>
                <c:ptCount val="1"/>
                <c:pt idx="0">
                  <c:v>Año 2008</c:v>
                </c:pt>
              </c:strCache>
            </c:strRef>
          </c:tx>
          <c:invertIfNegative val="0"/>
          <c:cat>
            <c:strRef>
              <c:f>'nacimientos grupo'!$A$7:$A$8</c:f>
              <c:strCache>
                <c:ptCount val="1"/>
                <c:pt idx="0">
                  <c:v>ASOMO</c:v>
                </c:pt>
              </c:strCache>
            </c:strRef>
          </c:cat>
          <c:val>
            <c:numRef>
              <c:f>'nacimientos grupo'!$F$7:$F$8</c:f>
              <c:numCache>
                <c:formatCode>General</c:formatCode>
                <c:ptCount val="1"/>
                <c:pt idx="0">
                  <c:v>284</c:v>
                </c:pt>
              </c:numCache>
            </c:numRef>
          </c:val>
        </c:ser>
        <c:ser>
          <c:idx val="5"/>
          <c:order val="5"/>
          <c:tx>
            <c:strRef>
              <c:f>'nacimientos grupo'!$G$5:$G$6</c:f>
              <c:strCache>
                <c:ptCount val="1"/>
                <c:pt idx="0">
                  <c:v>Año 2007</c:v>
                </c:pt>
              </c:strCache>
            </c:strRef>
          </c:tx>
          <c:invertIfNegative val="0"/>
          <c:cat>
            <c:strRef>
              <c:f>'nacimientos grupo'!$A$7:$A$8</c:f>
              <c:strCache>
                <c:ptCount val="1"/>
                <c:pt idx="0">
                  <c:v>ASOMO</c:v>
                </c:pt>
              </c:strCache>
            </c:strRef>
          </c:cat>
          <c:val>
            <c:numRef>
              <c:f>'nacimientos grupo'!$G$7:$G$8</c:f>
              <c:numCache>
                <c:formatCode>General</c:formatCode>
                <c:ptCount val="1"/>
                <c:pt idx="0">
                  <c:v>245</c:v>
                </c:pt>
              </c:numCache>
            </c:numRef>
          </c:val>
        </c:ser>
        <c:dLbls>
          <c:showLegendKey val="0"/>
          <c:showVal val="0"/>
          <c:showCatName val="0"/>
          <c:showSerName val="0"/>
          <c:showPercent val="0"/>
          <c:showBubbleSize val="0"/>
        </c:dLbls>
        <c:gapWidth val="150"/>
        <c:shape val="cylinder"/>
        <c:axId val="37948928"/>
        <c:axId val="32013056"/>
        <c:axId val="0"/>
      </c:bar3DChart>
      <c:catAx>
        <c:axId val="37948928"/>
        <c:scaling>
          <c:orientation val="minMax"/>
        </c:scaling>
        <c:delete val="0"/>
        <c:axPos val="b"/>
        <c:majorTickMark val="out"/>
        <c:minorTickMark val="none"/>
        <c:tickLblPos val="nextTo"/>
        <c:crossAx val="32013056"/>
        <c:crosses val="autoZero"/>
        <c:auto val="1"/>
        <c:lblAlgn val="ctr"/>
        <c:lblOffset val="100"/>
        <c:noMultiLvlLbl val="0"/>
      </c:catAx>
      <c:valAx>
        <c:axId val="32013056"/>
        <c:scaling>
          <c:orientation val="minMax"/>
        </c:scaling>
        <c:delete val="0"/>
        <c:axPos val="l"/>
        <c:majorGridlines/>
        <c:numFmt formatCode="General" sourceLinked="1"/>
        <c:majorTickMark val="out"/>
        <c:minorTickMark val="none"/>
        <c:tickLblPos val="nextTo"/>
        <c:crossAx val="37948928"/>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(ASOMO)</a:t>
            </a:r>
            <a:endParaRPr lang="es-ES" sz="1400"/>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2495032197630349"/>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ASOMO</c:v>
                </c:pt>
              </c:strCache>
            </c:strRef>
          </c:cat>
          <c:val>
            <c:numRef>
              <c:f>'defunciones grupo'!$B$7:$B$8</c:f>
              <c:numCache>
                <c:formatCode>General</c:formatCode>
                <c:ptCount val="1"/>
                <c:pt idx="0">
                  <c:v>404</c:v>
                </c:pt>
              </c:numCache>
            </c:numRef>
          </c:val>
        </c:ser>
        <c:ser>
          <c:idx val="1"/>
          <c:order val="1"/>
          <c:tx>
            <c:strRef>
              <c:f>'defunciones grupo'!$C$5:$C$6</c:f>
              <c:strCache>
                <c:ptCount val="1"/>
                <c:pt idx="0">
                  <c:v>Año 2011</c:v>
                </c:pt>
              </c:strCache>
            </c:strRef>
          </c:tx>
          <c:invertIfNegative val="0"/>
          <c:cat>
            <c:strRef>
              <c:f>'defunciones grupo'!$A$7:$A$8</c:f>
              <c:strCache>
                <c:ptCount val="1"/>
                <c:pt idx="0">
                  <c:v>ASOMO</c:v>
                </c:pt>
              </c:strCache>
            </c:strRef>
          </c:cat>
          <c:val>
            <c:numRef>
              <c:f>'defunciones grupo'!$C$7:$C$8</c:f>
              <c:numCache>
                <c:formatCode>General</c:formatCode>
                <c:ptCount val="1"/>
                <c:pt idx="0">
                  <c:v>342</c:v>
                </c:pt>
              </c:numCache>
            </c:numRef>
          </c:val>
        </c:ser>
        <c:ser>
          <c:idx val="2"/>
          <c:order val="2"/>
          <c:tx>
            <c:strRef>
              <c:f>'defunciones grupo'!$D$5:$D$6</c:f>
              <c:strCache>
                <c:ptCount val="1"/>
                <c:pt idx="0">
                  <c:v>Año 2010</c:v>
                </c:pt>
              </c:strCache>
            </c:strRef>
          </c:tx>
          <c:invertIfNegative val="0"/>
          <c:cat>
            <c:strRef>
              <c:f>'defunciones grupo'!$A$7:$A$8</c:f>
              <c:strCache>
                <c:ptCount val="1"/>
                <c:pt idx="0">
                  <c:v>ASOMO</c:v>
                </c:pt>
              </c:strCache>
            </c:strRef>
          </c:cat>
          <c:val>
            <c:numRef>
              <c:f>'defunciones grupo'!$D$7:$D$8</c:f>
              <c:numCache>
                <c:formatCode>General</c:formatCode>
                <c:ptCount val="1"/>
                <c:pt idx="0">
                  <c:v>364</c:v>
                </c:pt>
              </c:numCache>
            </c:numRef>
          </c:val>
        </c:ser>
        <c:ser>
          <c:idx val="3"/>
          <c:order val="3"/>
          <c:tx>
            <c:strRef>
              <c:f>'defunciones grupo'!$E$5:$E$6</c:f>
              <c:strCache>
                <c:ptCount val="1"/>
                <c:pt idx="0">
                  <c:v>Año 2009</c:v>
                </c:pt>
              </c:strCache>
            </c:strRef>
          </c:tx>
          <c:invertIfNegative val="0"/>
          <c:cat>
            <c:strRef>
              <c:f>'defunciones grupo'!$A$7:$A$8</c:f>
              <c:strCache>
                <c:ptCount val="1"/>
                <c:pt idx="0">
                  <c:v>ASOMO</c:v>
                </c:pt>
              </c:strCache>
            </c:strRef>
          </c:cat>
          <c:val>
            <c:numRef>
              <c:f>'defunciones grupo'!$E$7:$E$8</c:f>
              <c:numCache>
                <c:formatCode>General</c:formatCode>
                <c:ptCount val="1"/>
                <c:pt idx="0">
                  <c:v>386</c:v>
                </c:pt>
              </c:numCache>
            </c:numRef>
          </c:val>
        </c:ser>
        <c:ser>
          <c:idx val="4"/>
          <c:order val="4"/>
          <c:tx>
            <c:strRef>
              <c:f>'defunciones grupo'!$F$5:$F$6</c:f>
              <c:strCache>
                <c:ptCount val="1"/>
                <c:pt idx="0">
                  <c:v>Año 2008</c:v>
                </c:pt>
              </c:strCache>
            </c:strRef>
          </c:tx>
          <c:invertIfNegative val="0"/>
          <c:cat>
            <c:strRef>
              <c:f>'defunciones grupo'!$A$7:$A$8</c:f>
              <c:strCache>
                <c:ptCount val="1"/>
                <c:pt idx="0">
                  <c:v>ASOMO</c:v>
                </c:pt>
              </c:strCache>
            </c:strRef>
          </c:cat>
          <c:val>
            <c:numRef>
              <c:f>'defunciones grupo'!$F$7:$F$8</c:f>
              <c:numCache>
                <c:formatCode>General</c:formatCode>
                <c:ptCount val="1"/>
                <c:pt idx="0">
                  <c:v>414</c:v>
                </c:pt>
              </c:numCache>
            </c:numRef>
          </c:val>
        </c:ser>
        <c:ser>
          <c:idx val="5"/>
          <c:order val="5"/>
          <c:tx>
            <c:strRef>
              <c:f>'defunciones grupo'!$G$5:$G$6</c:f>
              <c:strCache>
                <c:ptCount val="1"/>
                <c:pt idx="0">
                  <c:v>Año 2007</c:v>
                </c:pt>
              </c:strCache>
            </c:strRef>
          </c:tx>
          <c:invertIfNegative val="0"/>
          <c:cat>
            <c:strRef>
              <c:f>'defunciones grupo'!$A$7:$A$8</c:f>
              <c:strCache>
                <c:ptCount val="1"/>
                <c:pt idx="0">
                  <c:v>ASOMO</c:v>
                </c:pt>
              </c:strCache>
            </c:strRef>
          </c:cat>
          <c:val>
            <c:numRef>
              <c:f>'defunciones grupo'!$G$7:$G$8</c:f>
              <c:numCache>
                <c:formatCode>General</c:formatCode>
                <c:ptCount val="1"/>
                <c:pt idx="0">
                  <c:v>397</c:v>
                </c:pt>
              </c:numCache>
            </c:numRef>
          </c:val>
        </c:ser>
        <c:ser>
          <c:idx val="6"/>
          <c:order val="6"/>
          <c:tx>
            <c:strRef>
              <c:f>'defunciones grupo'!$H$5:$H$6</c:f>
              <c:strCache>
                <c:ptCount val="1"/>
                <c:pt idx="0">
                  <c:v>Año 2006</c:v>
                </c:pt>
              </c:strCache>
            </c:strRef>
          </c:tx>
          <c:invertIfNegative val="0"/>
          <c:cat>
            <c:strRef>
              <c:f>'defunciones grupo'!$A$7:$A$8</c:f>
              <c:strCache>
                <c:ptCount val="1"/>
                <c:pt idx="0">
                  <c:v>ASOMO</c:v>
                </c:pt>
              </c:strCache>
            </c:strRef>
          </c:cat>
          <c:val>
            <c:numRef>
              <c:f>'defunciones grupo'!$H$7:$H$8</c:f>
              <c:numCache>
                <c:formatCode>General</c:formatCode>
                <c:ptCount val="1"/>
                <c:pt idx="0">
                  <c:v>356</c:v>
                </c:pt>
              </c:numCache>
            </c:numRef>
          </c:val>
        </c:ser>
        <c:dLbls>
          <c:showLegendKey val="0"/>
          <c:showVal val="0"/>
          <c:showCatName val="0"/>
          <c:showSerName val="0"/>
          <c:showPercent val="0"/>
          <c:showBubbleSize val="0"/>
        </c:dLbls>
        <c:gapWidth val="150"/>
        <c:shape val="cylinder"/>
        <c:axId val="33200640"/>
        <c:axId val="52542208"/>
        <c:axId val="0"/>
      </c:bar3DChart>
      <c:catAx>
        <c:axId val="33200640"/>
        <c:scaling>
          <c:orientation val="minMax"/>
        </c:scaling>
        <c:delete val="0"/>
        <c:axPos val="b"/>
        <c:majorTickMark val="out"/>
        <c:minorTickMark val="none"/>
        <c:tickLblPos val="nextTo"/>
        <c:crossAx val="52542208"/>
        <c:crosses val="autoZero"/>
        <c:auto val="1"/>
        <c:lblAlgn val="ctr"/>
        <c:lblOffset val="100"/>
        <c:noMultiLvlLbl val="0"/>
      </c:catAx>
      <c:valAx>
        <c:axId val="52542208"/>
        <c:scaling>
          <c:orientation val="minMax"/>
        </c:scaling>
        <c:delete val="0"/>
        <c:axPos val="l"/>
        <c:majorGridlines/>
        <c:numFmt formatCode="General" sourceLinked="1"/>
        <c:majorTickMark val="out"/>
        <c:minorTickMark val="none"/>
        <c:tickLblPos val="nextTo"/>
        <c:crossAx val="33200640"/>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6532988644528556E-2"/>
          <c:y val="0.14290153772129277"/>
          <c:w val="0.8941592416079569"/>
          <c:h val="0.72317515342751271"/>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ASOMO</c:v>
                </c:pt>
              </c:strCache>
            </c:strRef>
          </c:cat>
          <c:val>
            <c:numRef>
              <c:f>'variación residencia grupo'!$B$7:$B$8</c:f>
              <c:numCache>
                <c:formatCode>General</c:formatCode>
                <c:ptCount val="1"/>
                <c:pt idx="0">
                  <c:v>-156</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ASOMO</c:v>
                </c:pt>
              </c:strCache>
            </c:strRef>
          </c:cat>
          <c:val>
            <c:numRef>
              <c:f>'variación residencia grupo'!$C$7:$C$8</c:f>
              <c:numCache>
                <c:formatCode>General</c:formatCode>
                <c:ptCount val="1"/>
                <c:pt idx="0">
                  <c:v>-284</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ASOMO</c:v>
                </c:pt>
              </c:strCache>
            </c:strRef>
          </c:cat>
          <c:val>
            <c:numRef>
              <c:f>'variación residencia grupo'!$D$7:$D$8</c:f>
              <c:numCache>
                <c:formatCode>General</c:formatCode>
                <c:ptCount val="1"/>
                <c:pt idx="0">
                  <c:v>-153</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ASOMO</c:v>
                </c:pt>
              </c:strCache>
            </c:strRef>
          </c:cat>
          <c:val>
            <c:numRef>
              <c:f>'variación residencia grupo'!$E$7:$E$8</c:f>
              <c:numCache>
                <c:formatCode>General</c:formatCode>
                <c:ptCount val="1"/>
                <c:pt idx="0">
                  <c:v>108</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ASOMO</c:v>
                </c:pt>
              </c:strCache>
            </c:strRef>
          </c:cat>
          <c:val>
            <c:numRef>
              <c:f>'variación residencia grupo'!$F$7:$F$8</c:f>
              <c:numCache>
                <c:formatCode>General</c:formatCode>
                <c:ptCount val="1"/>
                <c:pt idx="0">
                  <c:v>-30</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ASOMO</c:v>
                </c:pt>
              </c:strCache>
            </c:strRef>
          </c:cat>
          <c:val>
            <c:numRef>
              <c:f>'variación residencia grupo'!$G$7:$G$8</c:f>
              <c:numCache>
                <c:formatCode>General</c:formatCode>
                <c:ptCount val="1"/>
                <c:pt idx="0">
                  <c:v>390</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ASOMO</c:v>
                </c:pt>
              </c:strCache>
            </c:strRef>
          </c:cat>
          <c:val>
            <c:numRef>
              <c:f>'variación residencia grupo'!$H$7:$H$8</c:f>
              <c:numCache>
                <c:formatCode>General</c:formatCode>
                <c:ptCount val="1"/>
                <c:pt idx="0">
                  <c:v>691</c:v>
                </c:pt>
              </c:numCache>
            </c:numRef>
          </c:val>
        </c:ser>
        <c:dLbls>
          <c:showLegendKey val="0"/>
          <c:showVal val="0"/>
          <c:showCatName val="0"/>
          <c:showSerName val="0"/>
          <c:showPercent val="0"/>
          <c:showBubbleSize val="0"/>
        </c:dLbls>
        <c:gapWidth val="150"/>
        <c:shape val="cylinder"/>
        <c:axId val="37948416"/>
        <c:axId val="33129024"/>
        <c:axId val="0"/>
      </c:bar3DChart>
      <c:catAx>
        <c:axId val="37948416"/>
        <c:scaling>
          <c:orientation val="minMax"/>
        </c:scaling>
        <c:delete val="0"/>
        <c:axPos val="b"/>
        <c:majorTickMark val="out"/>
        <c:minorTickMark val="none"/>
        <c:tickLblPos val="low"/>
        <c:crossAx val="33129024"/>
        <c:crosses val="autoZero"/>
        <c:auto val="1"/>
        <c:lblAlgn val="ctr"/>
        <c:lblOffset val="100"/>
        <c:noMultiLvlLbl val="0"/>
      </c:catAx>
      <c:valAx>
        <c:axId val="33129024"/>
        <c:scaling>
          <c:orientation val="minMax"/>
        </c:scaling>
        <c:delete val="0"/>
        <c:axPos val="l"/>
        <c:majorGridlines/>
        <c:numFmt formatCode="General" sourceLinked="1"/>
        <c:majorTickMark val="out"/>
        <c:minorTickMark val="none"/>
        <c:tickLblPos val="nextTo"/>
        <c:crossAx val="37948416"/>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6.8900785112616728E-2"/>
          <c:w val="0.61822897143819699"/>
          <c:h val="0.84755081486907158"/>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ASOMO</c:v>
                </c:pt>
              </c:strCache>
            </c:strRef>
          </c:cat>
          <c:val>
            <c:numRef>
              <c:f>'Tabla porcentajes 2012'!$B$9:$B$10</c:f>
              <c:numCache>
                <c:formatCode>0.0000%</c:formatCode>
                <c:ptCount val="1"/>
                <c:pt idx="0">
                  <c:v>2.9199897092873676E-2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ASOMO</c:v>
                </c:pt>
              </c:strCache>
            </c:strRef>
          </c:cat>
          <c:val>
            <c:numRef>
              <c:f>'Tabla porcentajes 2012'!$C$9:$C$10</c:f>
              <c:numCache>
                <c:formatCode>0.0000%</c:formatCode>
                <c:ptCount val="1"/>
                <c:pt idx="0">
                  <c:v>2.27979274611399E-2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ASOMO</c:v>
                </c:pt>
              </c:strCache>
            </c:strRef>
          </c:cat>
          <c:val>
            <c:numRef>
              <c:f>'Tabla porcentajes 2012'!$D$9:$D$10</c:f>
              <c:numCache>
                <c:formatCode>0.0000%</c:formatCode>
                <c:ptCount val="1"/>
                <c:pt idx="0">
                  <c:v>2.3114355231143552E-2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ASOMO</c:v>
                </c:pt>
              </c:strCache>
            </c:strRef>
          </c:cat>
          <c:val>
            <c:numRef>
              <c:f>'Tabla porcentajes 2012'!$E$9:$E$10</c:f>
              <c:numCache>
                <c:formatCode>0.0000%</c:formatCode>
                <c:ptCount val="1"/>
                <c:pt idx="0">
                  <c:v>2.0684890098026511E-2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ASOMO</c:v>
                </c:pt>
              </c:strCache>
            </c:strRef>
          </c:cat>
          <c:val>
            <c:numRef>
              <c:f>'Tabla porcentajes 2012'!$F$9:$F$10</c:f>
              <c:numCache>
                <c:formatCode>0.0000%</c:formatCode>
                <c:ptCount val="1"/>
                <c:pt idx="0">
                  <c:v>1.7657147825262221E-2</c:v>
                </c:pt>
              </c:numCache>
            </c:numRef>
          </c:val>
        </c:ser>
        <c:dLbls>
          <c:showLegendKey val="0"/>
          <c:showVal val="0"/>
          <c:showCatName val="0"/>
          <c:showSerName val="0"/>
          <c:showPercent val="0"/>
          <c:showBubbleSize val="0"/>
        </c:dLbls>
        <c:gapWidth val="150"/>
        <c:shape val="box"/>
        <c:axId val="38560768"/>
        <c:axId val="33131328"/>
        <c:axId val="0"/>
      </c:bar3DChart>
      <c:catAx>
        <c:axId val="38560768"/>
        <c:scaling>
          <c:orientation val="minMax"/>
        </c:scaling>
        <c:delete val="0"/>
        <c:axPos val="b"/>
        <c:majorTickMark val="out"/>
        <c:minorTickMark val="none"/>
        <c:tickLblPos val="nextTo"/>
        <c:crossAx val="33131328"/>
        <c:crosses val="autoZero"/>
        <c:auto val="1"/>
        <c:lblAlgn val="ctr"/>
        <c:lblOffset val="100"/>
        <c:noMultiLvlLbl val="0"/>
      </c:catAx>
      <c:valAx>
        <c:axId val="33131328"/>
        <c:scaling>
          <c:orientation val="minMax"/>
        </c:scaling>
        <c:delete val="0"/>
        <c:axPos val="l"/>
        <c:majorGridlines/>
        <c:numFmt formatCode="0.00%" sourceLinked="0"/>
        <c:majorTickMark val="out"/>
        <c:minorTickMark val="none"/>
        <c:tickLblPos val="nextTo"/>
        <c:crossAx val="38560768"/>
        <c:crosses val="autoZero"/>
        <c:crossBetween val="between"/>
      </c:valAx>
    </c:plotArea>
    <c:legend>
      <c:legendPos val="b"/>
      <c:layout>
        <c:manualLayout>
          <c:xMode val="edge"/>
          <c:yMode val="edge"/>
          <c:x val="0.72074054614288385"/>
          <c:y val="9.1981207654275754E-2"/>
          <c:w val="0.27706170185200302"/>
          <c:h val="0.8458518357443691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ASOMO</c:v>
                </c:pt>
              </c:strCache>
            </c:strRef>
          </c:cat>
          <c:val>
            <c:numRef>
              <c:f>'Tabla evolucion 2012-2011'!$B$9</c:f>
              <c:numCache>
                <c:formatCode>General</c:formatCode>
                <c:ptCount val="1"/>
                <c:pt idx="0">
                  <c:v>-2</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ASOMO</c:v>
                </c:pt>
              </c:strCache>
            </c:strRef>
          </c:cat>
          <c:val>
            <c:numRef>
              <c:f>'Tabla evolucion 2012-2011'!$C$9</c:f>
              <c:numCache>
                <c:formatCode>General</c:formatCode>
                <c:ptCount val="1"/>
                <c:pt idx="0">
                  <c:v>-19</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ASOMO</c:v>
                </c:pt>
              </c:strCache>
            </c:strRef>
          </c:cat>
          <c:val>
            <c:numRef>
              <c:f>'Tabla evolucion 2012-2011'!$D$9</c:f>
              <c:numCache>
                <c:formatCode>General</c:formatCode>
                <c:ptCount val="1"/>
                <c:pt idx="0">
                  <c:v>3</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ASOMO</c:v>
                </c:pt>
              </c:strCache>
            </c:strRef>
          </c:cat>
          <c:val>
            <c:numRef>
              <c:f>'Tabla evolucion 2012-2011'!$E$9</c:f>
              <c:numCache>
                <c:formatCode>General</c:formatCode>
                <c:ptCount val="1"/>
                <c:pt idx="0">
                  <c:v>-68</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ASOMO</c:v>
                </c:pt>
              </c:strCache>
            </c:strRef>
          </c:cat>
          <c:val>
            <c:numRef>
              <c:f>'Tabla evolucion 2012-2011'!$F$9</c:f>
              <c:numCache>
                <c:formatCode>General</c:formatCode>
                <c:ptCount val="1"/>
                <c:pt idx="0">
                  <c:v>-119</c:v>
                </c:pt>
              </c:numCache>
            </c:numRef>
          </c:val>
        </c:ser>
        <c:dLbls>
          <c:showLegendKey val="0"/>
          <c:showVal val="0"/>
          <c:showCatName val="0"/>
          <c:showSerName val="0"/>
          <c:showPercent val="0"/>
          <c:showBubbleSize val="0"/>
        </c:dLbls>
        <c:gapWidth val="150"/>
        <c:shape val="box"/>
        <c:axId val="38561280"/>
        <c:axId val="33132480"/>
        <c:axId val="0"/>
      </c:bar3DChart>
      <c:catAx>
        <c:axId val="38561280"/>
        <c:scaling>
          <c:orientation val="minMax"/>
        </c:scaling>
        <c:delete val="0"/>
        <c:axPos val="b"/>
        <c:majorTickMark val="out"/>
        <c:minorTickMark val="none"/>
        <c:tickLblPos val="low"/>
        <c:crossAx val="33132480"/>
        <c:crosses val="autoZero"/>
        <c:auto val="1"/>
        <c:lblAlgn val="ctr"/>
        <c:lblOffset val="100"/>
        <c:noMultiLvlLbl val="0"/>
      </c:catAx>
      <c:valAx>
        <c:axId val="33132480"/>
        <c:scaling>
          <c:orientation val="minMax"/>
        </c:scaling>
        <c:delete val="0"/>
        <c:axPos val="l"/>
        <c:majorGridlines/>
        <c:numFmt formatCode="General" sourceLinked="1"/>
        <c:majorTickMark val="out"/>
        <c:minorTickMark val="none"/>
        <c:tickLblPos val="nextTo"/>
        <c:crossAx val="38561280"/>
        <c:crosses val="autoZero"/>
        <c:crossBetween val="between"/>
      </c:valAx>
    </c:plotArea>
    <c:legend>
      <c:legendPos val="b"/>
      <c:layout>
        <c:manualLayout>
          <c:xMode val="edge"/>
          <c:yMode val="edge"/>
          <c:x val="0.75437622106447222"/>
          <c:y val="5.8205082319255551E-2"/>
          <c:w val="0.21117681013557515"/>
          <c:h val="0.8368290411377571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1142,79km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25,76</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68082A9C-3203-4CD9-8F69-08D5A76031CE}" type="presOf" srcId="{F52A5D61-5B52-41D6-82AD-1AB126421323}" destId="{A37BC357-048C-4C8A-9C7C-39AAB06E79AE}" srcOrd="1" destOrd="0" presId="urn:microsoft.com/office/officeart/2005/8/layout/hList9"/>
    <dgm:cxn modelId="{CB6F7454-6611-40A4-9603-62419FC3617B}" type="presOf" srcId="{F52A5D61-5B52-41D6-82AD-1AB126421323}" destId="{53641B60-3D2A-48DF-8978-B44702B50950}"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65984706-5001-4214-ADB0-B73DAB5C6849}" type="presOf" srcId="{8A25AA0E-05A3-48A4-9066-D86732F11EE6}" destId="{575C1222-BBA2-426D-9CA7-C61006236803}" srcOrd="0" destOrd="0" presId="urn:microsoft.com/office/officeart/2005/8/layout/hList9"/>
    <dgm:cxn modelId="{B4D7B75F-EEBF-465C-98A1-5D3AB422E8F3}" srcId="{18A8730F-81C8-4E32-8AFC-F641D9564C32}" destId="{5A345620-AAE9-43AC-BFA5-7DCF838F6E6A}" srcOrd="0" destOrd="0" parTransId="{E6081994-E4C2-4952-BBDE-14351334798F}" sibTransId="{0DB3948C-1A0B-476A-81D8-3AAF2857D4B8}"/>
    <dgm:cxn modelId="{F23661FA-D4D5-4F66-9766-BE013364C55A}" srcId="{5A345620-AAE9-43AC-BFA5-7DCF838F6E6A}" destId="{DC8F0761-D699-4726-9FCA-759596682644}" srcOrd="0" destOrd="0" parTransId="{BCF338E4-6CE5-47FC-8844-97E4499475F5}" sibTransId="{3D522E44-48E3-4E26-A847-8B9E2C2F175D}"/>
    <dgm:cxn modelId="{D71F2FA4-9F29-4D7F-97F2-2C2C2E5AF8D0}" type="presOf" srcId="{5A345620-AAE9-43AC-BFA5-7DCF838F6E6A}" destId="{BF6713A8-036E-43D7-9142-70FA401CC8E0}" srcOrd="0" destOrd="0" presId="urn:microsoft.com/office/officeart/2005/8/layout/hList9"/>
    <dgm:cxn modelId="{ECC7BDD3-2D04-4E15-8C96-06E135574D13}" type="presOf" srcId="{DC8F0761-D699-4726-9FCA-759596682644}" destId="{7E56BCF3-9CB5-4F8B-BE2F-0C63200680D4}" srcOrd="0" destOrd="0" presId="urn:microsoft.com/office/officeart/2005/8/layout/hList9"/>
    <dgm:cxn modelId="{29DCE670-AFBA-4A27-B358-94DF83F369C3}" type="presOf" srcId="{18A8730F-81C8-4E32-8AFC-F641D9564C32}" destId="{E62352AE-7A92-409B-A693-FF5F5F371E72}" srcOrd="0" destOrd="0" presId="urn:microsoft.com/office/officeart/2005/8/layout/hList9"/>
    <dgm:cxn modelId="{826A5502-9349-4010-ADD4-2058F5A0310D}" type="presOf" srcId="{DC8F0761-D699-4726-9FCA-759596682644}" destId="{DACECD24-1E16-43E4-80BE-26CFAFDBDD5C}" srcOrd="1"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2F0832CD-C354-4218-9EBD-11D3B1FBE3FA}" type="presParOf" srcId="{E62352AE-7A92-409B-A693-FF5F5F371E72}" destId="{601C966D-3AF6-4118-B620-1E3EFBE740C9}" srcOrd="0" destOrd="0" presId="urn:microsoft.com/office/officeart/2005/8/layout/hList9"/>
    <dgm:cxn modelId="{B0E5C56B-356E-4A57-8B7C-44B97208A489}" type="presParOf" srcId="{E62352AE-7A92-409B-A693-FF5F5F371E72}" destId="{F36D099F-EEB4-4F98-872E-B1D06C65E133}" srcOrd="1" destOrd="0" presId="urn:microsoft.com/office/officeart/2005/8/layout/hList9"/>
    <dgm:cxn modelId="{821B7BF5-86D6-4DD3-93D2-1B1B0921DAB4}" type="presParOf" srcId="{F36D099F-EEB4-4F98-872E-B1D06C65E133}" destId="{DB5C4403-791E-4B02-859B-EC3F5B33D810}" srcOrd="0" destOrd="0" presId="urn:microsoft.com/office/officeart/2005/8/layout/hList9"/>
    <dgm:cxn modelId="{9C40BD42-2081-498F-A132-DAC974AA8299}" type="presParOf" srcId="{F36D099F-EEB4-4F98-872E-B1D06C65E133}" destId="{8F52367C-0189-4D38-8029-7D76FCD93C77}" srcOrd="1" destOrd="0" presId="urn:microsoft.com/office/officeart/2005/8/layout/hList9"/>
    <dgm:cxn modelId="{E8E22390-536C-4DBB-9CFF-E564E2731618}" type="presParOf" srcId="{8F52367C-0189-4D38-8029-7D76FCD93C77}" destId="{7E56BCF3-9CB5-4F8B-BE2F-0C63200680D4}" srcOrd="0" destOrd="0" presId="urn:microsoft.com/office/officeart/2005/8/layout/hList9"/>
    <dgm:cxn modelId="{DE7BD0DF-C89D-4E05-94BB-5535BCF1ECDA}" type="presParOf" srcId="{8F52367C-0189-4D38-8029-7D76FCD93C77}" destId="{DACECD24-1E16-43E4-80BE-26CFAFDBDD5C}" srcOrd="1" destOrd="0" presId="urn:microsoft.com/office/officeart/2005/8/layout/hList9"/>
    <dgm:cxn modelId="{A6654DD0-268A-430A-A96F-29E01A0E638B}" type="presParOf" srcId="{E62352AE-7A92-409B-A693-FF5F5F371E72}" destId="{5246FFAB-65CC-4258-8CBF-5E13D423474C}" srcOrd="2" destOrd="0" presId="urn:microsoft.com/office/officeart/2005/8/layout/hList9"/>
    <dgm:cxn modelId="{5AE2D47C-9C46-42F3-B8D8-2A068521F89F}" type="presParOf" srcId="{E62352AE-7A92-409B-A693-FF5F5F371E72}" destId="{BF6713A8-036E-43D7-9142-70FA401CC8E0}" srcOrd="3" destOrd="0" presId="urn:microsoft.com/office/officeart/2005/8/layout/hList9"/>
    <dgm:cxn modelId="{3419730A-901B-464D-AE0C-C48E9FD614AD}" type="presParOf" srcId="{E62352AE-7A92-409B-A693-FF5F5F371E72}" destId="{FB6E445D-BFE8-4AE0-9399-C0EECE766FC0}" srcOrd="4" destOrd="0" presId="urn:microsoft.com/office/officeart/2005/8/layout/hList9"/>
    <dgm:cxn modelId="{11F84C4F-1740-437F-94F7-13995584873F}" type="presParOf" srcId="{E62352AE-7A92-409B-A693-FF5F5F371E72}" destId="{99EAC4E4-9F15-4285-B02D-55B2D929CDCE}" srcOrd="5" destOrd="0" presId="urn:microsoft.com/office/officeart/2005/8/layout/hList9"/>
    <dgm:cxn modelId="{1D04D0DA-5EB3-47E4-91AA-1DE3FA9B3BC7}" type="presParOf" srcId="{E62352AE-7A92-409B-A693-FF5F5F371E72}" destId="{C29BD979-117A-4098-82FD-CF9E1B668D9D}" srcOrd="6" destOrd="0" presId="urn:microsoft.com/office/officeart/2005/8/layout/hList9"/>
    <dgm:cxn modelId="{412AF35A-35B9-4670-89AF-CF91AA88523D}" type="presParOf" srcId="{C29BD979-117A-4098-82FD-CF9E1B668D9D}" destId="{A6CEB835-8B0C-4E1D-9DF6-36136D68911F}" srcOrd="0" destOrd="0" presId="urn:microsoft.com/office/officeart/2005/8/layout/hList9"/>
    <dgm:cxn modelId="{1A1DD4B6-04FA-4C21-80C0-FE45F1A1648E}" type="presParOf" srcId="{C29BD979-117A-4098-82FD-CF9E1B668D9D}" destId="{43FC3AB4-C3DD-4D28-BDA2-12470C5C44D6}" srcOrd="1" destOrd="0" presId="urn:microsoft.com/office/officeart/2005/8/layout/hList9"/>
    <dgm:cxn modelId="{45167BF3-2F08-40C2-A2E1-AAD61CD96696}" type="presParOf" srcId="{43FC3AB4-C3DD-4D28-BDA2-12470C5C44D6}" destId="{53641B60-3D2A-48DF-8978-B44702B50950}" srcOrd="0" destOrd="0" presId="urn:microsoft.com/office/officeart/2005/8/layout/hList9"/>
    <dgm:cxn modelId="{CFF68CAE-4291-42D5-BE35-5303B023A841}" type="presParOf" srcId="{43FC3AB4-C3DD-4D28-BDA2-12470C5C44D6}" destId="{A37BC357-048C-4C8A-9C7C-39AAB06E79AE}" srcOrd="1" destOrd="0" presId="urn:microsoft.com/office/officeart/2005/8/layout/hList9"/>
    <dgm:cxn modelId="{912FE613-D640-4927-B94F-BF8596D79F84}" type="presParOf" srcId="{E62352AE-7A92-409B-A693-FF5F5F371E72}" destId="{8196E043-9A47-465E-9AB6-9778260CB821}" srcOrd="7" destOrd="0" presId="urn:microsoft.com/office/officeart/2005/8/layout/hList9"/>
    <dgm:cxn modelId="{11BE2EB6-545F-40A8-8F0C-C8CB50B052B8}"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1142,79km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25,76</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441DF5-9BEB-4190-A570-61D25200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24</Pages>
  <Words>1811</Words>
  <Characters>9963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Caracterización territorial de (ASIADER)</vt:lpstr>
    </vt:vector>
  </TitlesOfParts>
  <Company/>
  <LinksUpToDate>false</LinksUpToDate>
  <CharactersWithSpaces>11751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Tierras del Moncayo. Asociación para el Desarrollo de las Tierras del Moncayo (Asomo)</dc:title>
  <dc:subject/>
  <dc:creator>miriam escorza torrijos</dc:creator>
  <cp:keywords/>
  <dc:description/>
  <cp:lastModifiedBy>miriam escorza torrijos</cp:lastModifiedBy>
  <cp:revision>151</cp:revision>
  <dcterms:created xsi:type="dcterms:W3CDTF">2014-12-16T11:01:00Z</dcterms:created>
  <dcterms:modified xsi:type="dcterms:W3CDTF">2015-02-19T09:57:00Z</dcterms:modified>
</cp:coreProperties>
</file>