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619D2A30" wp14:editId="656861A8">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CA01D6" w:rsidRDefault="005047FE" w:rsidP="00DA6CCE">
          <w:pPr>
            <w:jc w:val="both"/>
            <w:rPr>
              <w:b/>
              <w:color w:val="FFFFFF" w:themeColor="background1"/>
              <w:sz w:val="44"/>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70774B49" wp14:editId="2B9026E2">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01D6" w:rsidRDefault="00CA01D6" w:rsidP="00CA01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CA01D6" w:rsidRDefault="00CA01D6" w:rsidP="00CA01D6">
                          <w:pPr>
                            <w:jc w:val="center"/>
                          </w:pPr>
                        </w:p>
                      </w:txbxContent>
                    </v:textbox>
                  </v:rec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CA01D6" w:rsidRDefault="00CA01D6" w:rsidP="00F36D27">
              <w:pPr>
                <w:jc w:val="center"/>
                <w:rPr>
                  <w:b/>
                  <w:color w:val="FFFFFF" w:themeColor="background1"/>
                  <w:sz w:val="44"/>
                  <w:szCs w:val="32"/>
                </w:rPr>
              </w:pPr>
              <w:r w:rsidRPr="00CA01D6">
                <w:rPr>
                  <w:b/>
                  <w:color w:val="FFFFFF" w:themeColor="background1"/>
                  <w:sz w:val="32"/>
                </w:rPr>
                <w:t xml:space="preserve">Caracterización territorial de Los </w:t>
              </w:r>
              <w:proofErr w:type="spellStart"/>
              <w:r w:rsidRPr="00CA01D6">
                <w:rPr>
                  <w:b/>
                  <w:color w:val="FFFFFF" w:themeColor="background1"/>
                  <w:sz w:val="32"/>
                </w:rPr>
                <w:t>Monegros</w:t>
              </w:r>
              <w:proofErr w:type="spellEnd"/>
              <w:r w:rsidRPr="00CA01D6">
                <w:rPr>
                  <w:b/>
                  <w:color w:val="FFFFFF" w:themeColor="background1"/>
                  <w:sz w:val="32"/>
                </w:rPr>
                <w:t xml:space="preserve">. </w:t>
              </w:r>
              <w:proofErr w:type="spellStart"/>
              <w:r w:rsidRPr="00CA01D6">
                <w:rPr>
                  <w:b/>
                  <w:color w:val="FFFFFF" w:themeColor="background1"/>
                  <w:sz w:val="32"/>
                </w:rPr>
                <w:t>Monegros</w:t>
              </w:r>
              <w:proofErr w:type="spellEnd"/>
              <w:r w:rsidRPr="00CA01D6">
                <w:rPr>
                  <w:b/>
                  <w:color w:val="FFFFFF" w:themeColor="background1"/>
                  <w:sz w:val="32"/>
                </w:rPr>
                <w:t xml:space="preserve">-Centro de Desarrollo (Ceder </w:t>
              </w:r>
              <w:proofErr w:type="spellStart"/>
              <w:r w:rsidRPr="00CA01D6">
                <w:rPr>
                  <w:b/>
                  <w:color w:val="FFFFFF" w:themeColor="background1"/>
                  <w:sz w:val="32"/>
                </w:rPr>
                <w:t>Monegros</w:t>
              </w:r>
              <w:proofErr w:type="spellEnd"/>
              <w:r w:rsidRPr="00CA01D6">
                <w:rPr>
                  <w:b/>
                  <w:color w:val="FFFFFF" w:themeColor="background1"/>
                  <w:sz w:val="32"/>
                </w:rPr>
                <w:t>)</w:t>
              </w:r>
            </w:p>
          </w:sdtContent>
        </w:sdt>
        <w:p w:rsidR="005047FE" w:rsidRDefault="005047FE" w:rsidP="00DA6CCE">
          <w:pPr>
            <w:jc w:val="both"/>
            <w:rPr>
              <w:b/>
              <w:color w:val="000000" w:themeColor="text1"/>
              <w:sz w:val="32"/>
              <w:szCs w:val="32"/>
            </w:rPr>
          </w:pPr>
        </w:p>
        <w:p w:rsidR="005047FE" w:rsidRPr="005047FE" w:rsidRDefault="008F1315" w:rsidP="008F1315">
          <w:pPr>
            <w:tabs>
              <w:tab w:val="left" w:pos="1984"/>
            </w:tabs>
            <w:jc w:val="both"/>
            <w:rPr>
              <w:b/>
              <w:color w:val="000000" w:themeColor="text1"/>
              <w:sz w:val="32"/>
              <w:szCs w:val="32"/>
            </w:rPr>
          </w:pPr>
          <w:r>
            <w:rPr>
              <w:b/>
              <w:color w:val="000000" w:themeColor="text1"/>
              <w:sz w:val="32"/>
              <w:szCs w:val="32"/>
            </w:rPr>
            <w:tab/>
          </w:r>
        </w:p>
        <w:p w:rsidR="005047FE" w:rsidRDefault="005047FE" w:rsidP="00DA6CCE">
          <w:pPr>
            <w:jc w:val="both"/>
            <w:rPr>
              <w:noProof/>
              <w:lang w:eastAsia="es-ES"/>
            </w:rPr>
          </w:pPr>
        </w:p>
        <w:p w:rsidR="005B7974" w:rsidRDefault="00CA01D6" w:rsidP="00CA01D6">
          <w:pPr>
            <w:tabs>
              <w:tab w:val="left" w:pos="6420"/>
            </w:tabs>
            <w:jc w:val="center"/>
            <w:rPr>
              <w:noProof/>
              <w:lang w:eastAsia="es-ES"/>
            </w:rPr>
          </w:pPr>
          <w:r>
            <w:rPr>
              <w:noProof/>
              <w:lang w:eastAsia="es-ES"/>
            </w:rPr>
            <w:drawing>
              <wp:inline distT="0" distB="0" distL="0" distR="0">
                <wp:extent cx="4619532" cy="5354249"/>
                <wp:effectExtent l="0" t="0" r="0" b="0"/>
                <wp:docPr id="7" name="Imagen 7" descr="bajo-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jo-mart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1706" cy="5356769"/>
                        </a:xfrm>
                        <a:prstGeom prst="rect">
                          <a:avLst/>
                        </a:prstGeom>
                        <a:noFill/>
                        <a:ln>
                          <a:noFill/>
                        </a:ln>
                      </pic:spPr>
                    </pic:pic>
                  </a:graphicData>
                </a:graphic>
              </wp:inline>
            </w:drawing>
          </w:r>
        </w:p>
        <w:p w:rsidR="005B7974" w:rsidRDefault="005B7974" w:rsidP="00DA6CCE">
          <w:pPr>
            <w:jc w:val="both"/>
            <w:rPr>
              <w:noProof/>
              <w:lang w:eastAsia="es-ES"/>
            </w:rPr>
          </w:pPr>
        </w:p>
        <w:tbl>
          <w:tblPr>
            <w:tblpPr w:leftFromText="187" w:rightFromText="187" w:vertAnchor="page" w:horzAnchor="margin" w:tblpY="14901"/>
            <w:tblOverlap w:val="never"/>
            <w:tblW w:w="0" w:type="auto"/>
            <w:tblLook w:val="04A0" w:firstRow="1" w:lastRow="0" w:firstColumn="1" w:lastColumn="0" w:noHBand="0" w:noVBand="1"/>
          </w:tblPr>
          <w:tblGrid>
            <w:gridCol w:w="8720"/>
          </w:tblGrid>
          <w:tr w:rsidR="00CA01D6" w:rsidTr="00CA01D6">
            <w:trPr>
              <w:trHeight w:val="360"/>
            </w:trPr>
            <w:tc>
              <w:tcPr>
                <w:tcW w:w="8720" w:type="dxa"/>
              </w:tcPr>
              <w:p w:rsidR="00CA01D6" w:rsidRPr="005047FE" w:rsidRDefault="00CA01D6" w:rsidP="00CA01D6">
                <w:pPr>
                  <w:pStyle w:val="Sinespaciado"/>
                  <w:jc w:val="both"/>
                  <w:rPr>
                    <w:b/>
                    <w:color w:val="000000" w:themeColor="text1"/>
                    <w:sz w:val="32"/>
                    <w:szCs w:val="32"/>
                  </w:rPr>
                </w:pPr>
                <w:r w:rsidRPr="005047FE">
                  <w:rPr>
                    <w:b/>
                    <w:color w:val="000000" w:themeColor="text1"/>
                    <w:sz w:val="32"/>
                    <w:szCs w:val="32"/>
                  </w:rPr>
                  <w:t>RADR</w:t>
                </w:r>
              </w:p>
            </w:tc>
          </w:tr>
        </w:tbl>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54306D37" wp14:editId="60DAAAE6">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3FDB242E" wp14:editId="5507BE65">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82A0A" w:rsidRDefault="00482A0A" w:rsidP="00DA6CCE">
          <w:pPr>
            <w:jc w:val="both"/>
            <w:rPr>
              <w:noProof/>
              <w:lang w:eastAsia="es-ES"/>
            </w:rPr>
          </w:pPr>
        </w:p>
        <w:tbl>
          <w:tblPr>
            <w:tblStyle w:val="Sombreadomedio1-nfasis4"/>
            <w:tblW w:w="8542" w:type="dxa"/>
            <w:jc w:val="center"/>
            <w:tblLook w:val="04A0" w:firstRow="1" w:lastRow="0" w:firstColumn="1" w:lastColumn="0" w:noHBand="0" w:noVBand="1"/>
          </w:tblPr>
          <w:tblGrid>
            <w:gridCol w:w="2855"/>
            <w:gridCol w:w="1635"/>
            <w:gridCol w:w="1381"/>
            <w:gridCol w:w="1289"/>
            <w:gridCol w:w="1382"/>
          </w:tblGrid>
          <w:tr w:rsidR="0026445A" w:rsidRPr="0026445A" w:rsidTr="0026445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26445A" w:rsidRPr="0026445A" w:rsidRDefault="0026445A" w:rsidP="0026445A">
                <w:pPr>
                  <w:rPr>
                    <w:rFonts w:eastAsia="Times New Roman" w:cs="Times New Roman"/>
                    <w:sz w:val="20"/>
                    <w:szCs w:val="20"/>
                    <w:lang w:eastAsia="es-ES"/>
                  </w:rPr>
                </w:pPr>
                <w:r w:rsidRPr="0026445A">
                  <w:rPr>
                    <w:rFonts w:eastAsia="Times New Roman" w:cs="Times New Roman"/>
                    <w:sz w:val="20"/>
                    <w:szCs w:val="20"/>
                    <w:lang w:eastAsia="es-ES"/>
                  </w:rPr>
                  <w:t>GRUPO</w:t>
                </w:r>
              </w:p>
            </w:tc>
            <w:tc>
              <w:tcPr>
                <w:tcW w:w="1635" w:type="dxa"/>
                <w:noWrap/>
                <w:hideMark/>
              </w:tcPr>
              <w:p w:rsidR="0026445A" w:rsidRPr="0026445A" w:rsidRDefault="0026445A" w:rsidP="0026445A">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CEDER MONEGROS</w:t>
                </w:r>
              </w:p>
            </w:tc>
            <w:tc>
              <w:tcPr>
                <w:tcW w:w="1381" w:type="dxa"/>
                <w:noWrap/>
                <w:hideMark/>
              </w:tcPr>
              <w:p w:rsidR="0026445A" w:rsidRPr="0026445A" w:rsidRDefault="0026445A" w:rsidP="0026445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289" w:type="dxa"/>
                <w:noWrap/>
                <w:hideMark/>
              </w:tcPr>
              <w:p w:rsidR="0026445A" w:rsidRPr="0026445A" w:rsidRDefault="0026445A" w:rsidP="0026445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381" w:type="dxa"/>
                <w:noWrap/>
                <w:hideMark/>
              </w:tcPr>
              <w:p w:rsidR="0026445A" w:rsidRPr="0026445A" w:rsidRDefault="0026445A" w:rsidP="0026445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55" w:type="dxa"/>
                <w:vMerge w:val="restart"/>
                <w:hideMark/>
              </w:tcPr>
              <w:p w:rsidR="0026445A" w:rsidRPr="0026445A" w:rsidRDefault="0026445A" w:rsidP="0026445A">
                <w:pPr>
                  <w:jc w:val="center"/>
                  <w:rPr>
                    <w:rFonts w:eastAsia="Times New Roman" w:cs="Times New Roman"/>
                    <w:sz w:val="20"/>
                    <w:szCs w:val="20"/>
                    <w:lang w:eastAsia="es-ES"/>
                  </w:rPr>
                </w:pPr>
                <w:r w:rsidRPr="0026445A">
                  <w:rPr>
                    <w:rFonts w:eastAsia="Times New Roman" w:cs="Times New Roman"/>
                    <w:sz w:val="20"/>
                    <w:szCs w:val="20"/>
                    <w:lang w:eastAsia="es-ES"/>
                  </w:rPr>
                  <w:t>Clasificación zona</w:t>
                </w:r>
              </w:p>
            </w:tc>
            <w:tc>
              <w:tcPr>
                <w:tcW w:w="3016" w:type="dxa"/>
                <w:gridSpan w:val="2"/>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26445A">
                  <w:rPr>
                    <w:rFonts w:eastAsia="Times New Roman" w:cs="Times New Roman"/>
                    <w:b/>
                    <w:bCs/>
                    <w:sz w:val="20"/>
                    <w:szCs w:val="20"/>
                    <w:lang w:eastAsia="es-ES"/>
                  </w:rPr>
                  <w:t>Población</w:t>
                </w:r>
              </w:p>
            </w:tc>
            <w:tc>
              <w:tcPr>
                <w:tcW w:w="2671" w:type="dxa"/>
                <w:gridSpan w:val="2"/>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26445A">
                  <w:rPr>
                    <w:rFonts w:eastAsia="Times New Roman" w:cs="Times New Roman"/>
                    <w:b/>
                    <w:bCs/>
                    <w:sz w:val="20"/>
                    <w:szCs w:val="20"/>
                    <w:lang w:eastAsia="es-ES"/>
                  </w:rPr>
                  <w:t>Localidades</w:t>
                </w: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55" w:type="dxa"/>
                <w:vMerge/>
                <w:hideMark/>
              </w:tcPr>
              <w:p w:rsidR="0026445A" w:rsidRPr="0026445A" w:rsidRDefault="0026445A" w:rsidP="0026445A">
                <w:pPr>
                  <w:rPr>
                    <w:rFonts w:eastAsia="Times New Roman" w:cs="Times New Roman"/>
                    <w:sz w:val="20"/>
                    <w:szCs w:val="20"/>
                    <w:lang w:eastAsia="es-ES"/>
                  </w:rPr>
                </w:pPr>
              </w:p>
            </w:tc>
            <w:tc>
              <w:tcPr>
                <w:tcW w:w="1635"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26445A">
                  <w:rPr>
                    <w:rFonts w:eastAsia="Times New Roman" w:cs="Times New Roman"/>
                    <w:b/>
                    <w:bCs/>
                    <w:sz w:val="20"/>
                    <w:szCs w:val="20"/>
                    <w:lang w:eastAsia="es-ES"/>
                  </w:rPr>
                  <w:t>Nº</w:t>
                </w:r>
              </w:p>
            </w:tc>
            <w:tc>
              <w:tcPr>
                <w:tcW w:w="1381"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26445A">
                  <w:rPr>
                    <w:rFonts w:eastAsia="Times New Roman" w:cs="Times New Roman"/>
                    <w:b/>
                    <w:bCs/>
                    <w:sz w:val="20"/>
                    <w:szCs w:val="20"/>
                    <w:lang w:eastAsia="es-ES"/>
                  </w:rPr>
                  <w:t>%</w:t>
                </w:r>
              </w:p>
            </w:tc>
            <w:tc>
              <w:tcPr>
                <w:tcW w:w="1289"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26445A">
                  <w:rPr>
                    <w:rFonts w:eastAsia="Times New Roman" w:cs="Times New Roman"/>
                    <w:b/>
                    <w:bCs/>
                    <w:sz w:val="20"/>
                    <w:szCs w:val="20"/>
                    <w:lang w:eastAsia="es-ES"/>
                  </w:rPr>
                  <w:t>Nº</w:t>
                </w:r>
              </w:p>
            </w:tc>
            <w:tc>
              <w:tcPr>
                <w:tcW w:w="1381"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26445A">
                  <w:rPr>
                    <w:rFonts w:eastAsia="Times New Roman" w:cs="Times New Roman"/>
                    <w:b/>
                    <w:bCs/>
                    <w:sz w:val="20"/>
                    <w:szCs w:val="20"/>
                    <w:lang w:eastAsia="es-ES"/>
                  </w:rPr>
                  <w:t>%</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26445A" w:rsidRPr="0026445A" w:rsidRDefault="0026445A" w:rsidP="0026445A">
                <w:pPr>
                  <w:jc w:val="center"/>
                  <w:rPr>
                    <w:rFonts w:eastAsia="Times New Roman" w:cs="Times New Roman"/>
                    <w:sz w:val="20"/>
                    <w:szCs w:val="20"/>
                    <w:lang w:eastAsia="es-ES"/>
                  </w:rPr>
                </w:pPr>
                <w:r w:rsidRPr="0026445A">
                  <w:rPr>
                    <w:rFonts w:eastAsia="Times New Roman" w:cs="Times New Roman"/>
                    <w:sz w:val="20"/>
                    <w:szCs w:val="20"/>
                    <w:lang w:eastAsia="es-ES"/>
                  </w:rPr>
                  <w:t>Zona rural (&lt;2000)</w:t>
                </w:r>
              </w:p>
            </w:tc>
            <w:tc>
              <w:tcPr>
                <w:tcW w:w="1635"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15849</w:t>
                </w:r>
              </w:p>
            </w:tc>
            <w:tc>
              <w:tcPr>
                <w:tcW w:w="1381"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78,57%</w:t>
                </w:r>
              </w:p>
            </w:tc>
            <w:tc>
              <w:tcPr>
                <w:tcW w:w="1289"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30</w:t>
                </w:r>
              </w:p>
            </w:tc>
            <w:tc>
              <w:tcPr>
                <w:tcW w:w="1381"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96,77%</w:t>
                </w: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26445A" w:rsidRPr="0026445A" w:rsidRDefault="0026445A" w:rsidP="0026445A">
                <w:pPr>
                  <w:jc w:val="center"/>
                  <w:rPr>
                    <w:rFonts w:eastAsia="Times New Roman" w:cs="Times New Roman"/>
                    <w:sz w:val="20"/>
                    <w:szCs w:val="20"/>
                    <w:lang w:eastAsia="es-ES"/>
                  </w:rPr>
                </w:pPr>
                <w:r w:rsidRPr="0026445A">
                  <w:rPr>
                    <w:rFonts w:eastAsia="Times New Roman" w:cs="Times New Roman"/>
                    <w:sz w:val="20"/>
                    <w:szCs w:val="20"/>
                    <w:lang w:eastAsia="es-ES"/>
                  </w:rPr>
                  <w:t>Zona intermedia (&lt; 10000)</w:t>
                </w:r>
              </w:p>
            </w:tc>
            <w:tc>
              <w:tcPr>
                <w:tcW w:w="1635"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4323</w:t>
                </w:r>
              </w:p>
            </w:tc>
            <w:tc>
              <w:tcPr>
                <w:tcW w:w="1381"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21,43%</w:t>
                </w:r>
              </w:p>
            </w:tc>
            <w:tc>
              <w:tcPr>
                <w:tcW w:w="1289"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1</w:t>
                </w:r>
              </w:p>
            </w:tc>
            <w:tc>
              <w:tcPr>
                <w:tcW w:w="1381"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3,23%</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26445A" w:rsidRPr="0026445A" w:rsidRDefault="0026445A" w:rsidP="0026445A">
                <w:pPr>
                  <w:jc w:val="center"/>
                  <w:rPr>
                    <w:rFonts w:eastAsia="Times New Roman" w:cs="Times New Roman"/>
                    <w:sz w:val="20"/>
                    <w:szCs w:val="20"/>
                    <w:lang w:eastAsia="es-ES"/>
                  </w:rPr>
                </w:pPr>
                <w:r w:rsidRPr="0026445A">
                  <w:rPr>
                    <w:rFonts w:eastAsia="Times New Roman" w:cs="Times New Roman"/>
                    <w:sz w:val="20"/>
                    <w:szCs w:val="20"/>
                    <w:lang w:eastAsia="es-ES"/>
                  </w:rPr>
                  <w:t>Zona urbana (&gt; 10000)</w:t>
                </w:r>
              </w:p>
            </w:tc>
            <w:tc>
              <w:tcPr>
                <w:tcW w:w="1635"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0</w:t>
                </w:r>
              </w:p>
            </w:tc>
            <w:tc>
              <w:tcPr>
                <w:tcW w:w="1381"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0,00%</w:t>
                </w:r>
              </w:p>
            </w:tc>
            <w:tc>
              <w:tcPr>
                <w:tcW w:w="1289"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0</w:t>
                </w:r>
              </w:p>
            </w:tc>
            <w:tc>
              <w:tcPr>
                <w:tcW w:w="1381"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0,00%</w:t>
                </w: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26445A" w:rsidRPr="0026445A" w:rsidRDefault="0026445A" w:rsidP="0026445A">
                <w:pPr>
                  <w:jc w:val="center"/>
                  <w:rPr>
                    <w:rFonts w:eastAsia="Times New Roman" w:cs="Times New Roman"/>
                    <w:sz w:val="20"/>
                    <w:szCs w:val="20"/>
                    <w:lang w:eastAsia="es-ES"/>
                  </w:rPr>
                </w:pPr>
                <w:r w:rsidRPr="0026445A">
                  <w:rPr>
                    <w:rFonts w:eastAsia="Times New Roman" w:cs="Times New Roman"/>
                    <w:sz w:val="20"/>
                    <w:szCs w:val="20"/>
                    <w:lang w:eastAsia="es-ES"/>
                  </w:rPr>
                  <w:t>Total</w:t>
                </w:r>
              </w:p>
            </w:tc>
            <w:tc>
              <w:tcPr>
                <w:tcW w:w="1635"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20172</w:t>
                </w:r>
              </w:p>
            </w:tc>
            <w:tc>
              <w:tcPr>
                <w:tcW w:w="1381"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100,00%</w:t>
                </w:r>
              </w:p>
            </w:tc>
            <w:tc>
              <w:tcPr>
                <w:tcW w:w="1289"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31</w:t>
                </w:r>
              </w:p>
            </w:tc>
            <w:tc>
              <w:tcPr>
                <w:tcW w:w="1381"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26445A">
                  <w:rPr>
                    <w:rFonts w:eastAsia="Times New Roman"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047FE" w:rsidRDefault="0026445A" w:rsidP="00482A0A">
          <w:pPr>
            <w:pStyle w:val="Prrafodelista"/>
            <w:ind w:left="284"/>
            <w:jc w:val="both"/>
            <w:rPr>
              <w:noProof/>
              <w:lang w:eastAsia="es-ES"/>
            </w:rPr>
          </w:pPr>
          <w:r>
            <w:rPr>
              <w:noProof/>
              <w:lang w:eastAsia="es-ES"/>
            </w:rPr>
            <w:drawing>
              <wp:inline distT="0" distB="0" distL="0" distR="0" wp14:anchorId="251FFFAF" wp14:editId="57A0B1FE">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22AC" w:rsidRDefault="008222AC" w:rsidP="00DA6CCE">
          <w:pPr>
            <w:jc w:val="both"/>
            <w:rPr>
              <w:noProof/>
              <w:lang w:eastAsia="es-ES"/>
            </w:rPr>
          </w:pPr>
        </w:p>
        <w:p w:rsidR="001B65A0" w:rsidRDefault="001B65A0"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26445A" w:rsidP="00DC45B6">
          <w:pPr>
            <w:pStyle w:val="Prrafodelista"/>
            <w:ind w:left="426"/>
            <w:jc w:val="center"/>
            <w:rPr>
              <w:b/>
              <w:sz w:val="24"/>
              <w:szCs w:val="24"/>
            </w:rPr>
          </w:pPr>
          <w:r>
            <w:rPr>
              <w:noProof/>
              <w:lang w:eastAsia="es-ES"/>
            </w:rPr>
            <w:drawing>
              <wp:inline distT="0" distB="0" distL="0" distR="0" wp14:anchorId="4AD939CF" wp14:editId="0A8BA08E">
                <wp:extent cx="5405120" cy="3210560"/>
                <wp:effectExtent l="0" t="0" r="24130" b="279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482A0A" w:rsidRDefault="00482A0A" w:rsidP="00482A0A">
          <w:pPr>
            <w:pStyle w:val="Prrafodelista"/>
            <w:jc w:val="both"/>
            <w:rPr>
              <w:sz w:val="24"/>
              <w:szCs w:val="24"/>
            </w:rPr>
          </w:pPr>
        </w:p>
        <w:p w:rsidR="00533C22" w:rsidRDefault="0026445A" w:rsidP="0026445A">
          <w:pPr>
            <w:pStyle w:val="Prrafodelista"/>
            <w:ind w:left="567"/>
            <w:rPr>
              <w:sz w:val="24"/>
              <w:szCs w:val="24"/>
            </w:rPr>
          </w:pPr>
          <w:r w:rsidRPr="0026445A">
            <w:rPr>
              <w:noProof/>
              <w:lang w:eastAsia="es-ES"/>
            </w:rPr>
            <w:drawing>
              <wp:inline distT="0" distB="0" distL="0" distR="0" wp14:anchorId="299B1FB5" wp14:editId="3F1C3E77">
                <wp:extent cx="5608320" cy="12700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602" cy="1271196"/>
                        </a:xfrm>
                        <a:prstGeom prst="rect">
                          <a:avLst/>
                        </a:prstGeom>
                        <a:noFill/>
                        <a:ln>
                          <a:noFill/>
                        </a:ln>
                      </pic:spPr>
                    </pic:pic>
                  </a:graphicData>
                </a:graphic>
              </wp:inline>
            </w:drawing>
          </w:r>
        </w:p>
        <w:p w:rsidR="00A33934" w:rsidRPr="00A33934" w:rsidRDefault="00A33934" w:rsidP="00A33934">
          <w:pPr>
            <w:pStyle w:val="Prrafodelista"/>
            <w:jc w:val="both"/>
            <w:rPr>
              <w:sz w:val="24"/>
              <w:szCs w:val="24"/>
            </w:rPr>
          </w:pPr>
        </w:p>
        <w:p w:rsidR="00533C22"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A33934" w:rsidRPr="00FA17CC" w:rsidRDefault="00A33934" w:rsidP="00A33934">
          <w:pPr>
            <w:pStyle w:val="Prrafodelista"/>
            <w:jc w:val="both"/>
            <w:rPr>
              <w:sz w:val="24"/>
              <w:szCs w:val="24"/>
            </w:rPr>
          </w:pPr>
        </w:p>
        <w:p w:rsidR="00533C22" w:rsidRDefault="0026445A" w:rsidP="00CE7FA3">
          <w:pPr>
            <w:pStyle w:val="Prrafodelista"/>
            <w:ind w:left="567"/>
            <w:jc w:val="both"/>
            <w:rPr>
              <w:sz w:val="24"/>
              <w:szCs w:val="24"/>
            </w:rPr>
          </w:pPr>
          <w:r w:rsidRPr="0026445A">
            <w:rPr>
              <w:noProof/>
              <w:lang w:eastAsia="es-ES"/>
            </w:rPr>
            <w:drawing>
              <wp:inline distT="0" distB="0" distL="0" distR="0" wp14:anchorId="399541A8" wp14:editId="2E04AF7C">
                <wp:extent cx="5608320" cy="113792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603" cy="1138992"/>
                        </a:xfrm>
                        <a:prstGeom prst="rect">
                          <a:avLst/>
                        </a:prstGeom>
                        <a:noFill/>
                        <a:ln>
                          <a:noFill/>
                        </a:ln>
                      </pic:spPr>
                    </pic:pic>
                  </a:graphicData>
                </a:graphic>
              </wp:inline>
            </w:drawing>
          </w:r>
        </w:p>
        <w:p w:rsidR="00482A0A" w:rsidRPr="0092710E" w:rsidRDefault="00482A0A"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26445A" w:rsidP="00DA6CCE">
          <w:pPr>
            <w:pStyle w:val="Prrafodelista"/>
            <w:ind w:left="426"/>
            <w:jc w:val="both"/>
          </w:pPr>
          <w:r w:rsidRPr="0026445A">
            <w:rPr>
              <w:noProof/>
              <w:lang w:eastAsia="es-ES"/>
            </w:rPr>
            <w:drawing>
              <wp:inline distT="0" distB="0" distL="0" distR="0" wp14:anchorId="04CCFFA4" wp14:editId="4777F704">
                <wp:extent cx="5618477" cy="53848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754" cy="542436"/>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26445A" w:rsidP="00DA6CCE">
          <w:pPr>
            <w:pStyle w:val="Prrafodelista"/>
            <w:ind w:left="426"/>
            <w:jc w:val="both"/>
            <w:rPr>
              <w:b/>
              <w:sz w:val="24"/>
              <w:szCs w:val="24"/>
            </w:rPr>
          </w:pPr>
          <w:r w:rsidRPr="0026445A">
            <w:rPr>
              <w:noProof/>
              <w:lang w:eastAsia="es-ES"/>
            </w:rPr>
            <w:drawing>
              <wp:inline distT="0" distB="0" distL="0" distR="0" wp14:anchorId="604C3662" wp14:editId="66CF36F3">
                <wp:extent cx="5618480" cy="4572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746" cy="460558"/>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26445A" w:rsidP="00DA6CCE">
          <w:pPr>
            <w:pStyle w:val="Prrafodelista"/>
            <w:ind w:left="426"/>
            <w:jc w:val="both"/>
            <w:rPr>
              <w:b/>
              <w:sz w:val="24"/>
              <w:szCs w:val="24"/>
            </w:rPr>
          </w:pPr>
          <w:r w:rsidRPr="0026445A">
            <w:rPr>
              <w:noProof/>
              <w:lang w:eastAsia="es-ES"/>
            </w:rPr>
            <w:drawing>
              <wp:inline distT="0" distB="0" distL="0" distR="0" wp14:anchorId="367BF0F4" wp14:editId="4BD790F7">
                <wp:extent cx="5618480" cy="436880"/>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49" cy="440089"/>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26445A" w:rsidP="00FA17CC">
          <w:pPr>
            <w:pStyle w:val="Prrafodelista"/>
            <w:ind w:hanging="153"/>
            <w:jc w:val="both"/>
            <w:rPr>
              <w:b/>
              <w:sz w:val="24"/>
              <w:szCs w:val="24"/>
            </w:rPr>
          </w:pPr>
          <w:r>
            <w:rPr>
              <w:noProof/>
              <w:lang w:eastAsia="es-ES"/>
            </w:rPr>
            <w:drawing>
              <wp:inline distT="0" distB="0" distL="0" distR="0" wp14:anchorId="27E122C8" wp14:editId="03001E56">
                <wp:extent cx="5400040" cy="2457452"/>
                <wp:effectExtent l="38100" t="0" r="1016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26445A" w:rsidP="00FA17CC">
          <w:pPr>
            <w:pStyle w:val="Prrafodelista"/>
            <w:ind w:left="709" w:right="-1" w:hanging="142"/>
            <w:jc w:val="both"/>
            <w:rPr>
              <w:b/>
              <w:sz w:val="24"/>
              <w:szCs w:val="24"/>
            </w:rPr>
          </w:pPr>
          <w:r>
            <w:rPr>
              <w:noProof/>
              <w:lang w:eastAsia="es-ES"/>
            </w:rPr>
            <w:drawing>
              <wp:inline distT="0" distB="0" distL="0" distR="0" wp14:anchorId="36988E41" wp14:editId="15961242">
                <wp:extent cx="5394960" cy="2682240"/>
                <wp:effectExtent l="0" t="0" r="15240" b="2286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BB78C6" w:rsidRDefault="00BB78C6" w:rsidP="00DA6CCE">
          <w:pPr>
            <w:pStyle w:val="Prrafodelista"/>
            <w:ind w:left="567" w:right="-1" w:firstLine="142"/>
            <w:jc w:val="both"/>
            <w:rPr>
              <w:b/>
              <w:sz w:val="24"/>
              <w:szCs w:val="24"/>
            </w:rPr>
          </w:pPr>
        </w:p>
        <w:p w:rsidR="00482A0A" w:rsidRPr="008E7AAF" w:rsidRDefault="00482A0A"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26445A" w:rsidRPr="0026445A" w:rsidTr="0026445A">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26445A" w:rsidRPr="0026445A" w:rsidRDefault="0026445A" w:rsidP="0026445A">
                <w:pPr>
                  <w:jc w:val="center"/>
                  <w:rPr>
                    <w:rFonts w:eastAsia="Times New Roman" w:cs="Times New Roman"/>
                    <w:sz w:val="20"/>
                    <w:lang w:eastAsia="es-ES"/>
                  </w:rPr>
                </w:pPr>
                <w:r w:rsidRPr="0026445A">
                  <w:rPr>
                    <w:rFonts w:eastAsia="Times New Roman" w:cs="Times New Roman"/>
                    <w:sz w:val="20"/>
                    <w:lang w:eastAsia="es-ES"/>
                  </w:rPr>
                  <w:t>Tasa de masculinidad</w:t>
                </w:r>
              </w:p>
            </w:tc>
            <w:tc>
              <w:tcPr>
                <w:tcW w:w="2420" w:type="dxa"/>
                <w:vMerge w:val="restart"/>
                <w:noWrap/>
                <w:hideMark/>
              </w:tcPr>
              <w:p w:rsidR="0026445A" w:rsidRPr="0026445A" w:rsidRDefault="0026445A" w:rsidP="0026445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26445A">
                  <w:rPr>
                    <w:rFonts w:eastAsia="Times New Roman" w:cs="Times New Roman"/>
                    <w:sz w:val="20"/>
                    <w:lang w:eastAsia="es-ES"/>
                  </w:rPr>
                  <w:t>Aragón</w:t>
                </w:r>
              </w:p>
            </w:tc>
            <w:tc>
              <w:tcPr>
                <w:tcW w:w="2800" w:type="dxa"/>
                <w:vMerge w:val="restart"/>
                <w:noWrap/>
                <w:hideMark/>
              </w:tcPr>
              <w:p w:rsidR="0026445A" w:rsidRPr="0026445A" w:rsidRDefault="0026445A" w:rsidP="0026445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26445A">
                  <w:rPr>
                    <w:rFonts w:eastAsia="Times New Roman" w:cs="Times New Roman"/>
                    <w:sz w:val="20"/>
                    <w:lang w:eastAsia="es-ES"/>
                  </w:rPr>
                  <w:t>GAL</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26445A" w:rsidRPr="0026445A" w:rsidRDefault="0026445A" w:rsidP="0026445A">
                <w:pPr>
                  <w:rPr>
                    <w:rFonts w:eastAsia="Times New Roman" w:cs="Times New Roman"/>
                    <w:sz w:val="20"/>
                    <w:lang w:eastAsia="es-ES"/>
                  </w:rPr>
                </w:pPr>
              </w:p>
            </w:tc>
            <w:tc>
              <w:tcPr>
                <w:tcW w:w="2420" w:type="dxa"/>
                <w:vMerge/>
                <w:hideMark/>
              </w:tcPr>
              <w:p w:rsidR="0026445A" w:rsidRPr="0026445A" w:rsidRDefault="0026445A" w:rsidP="0026445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p>
            </w:tc>
            <w:tc>
              <w:tcPr>
                <w:tcW w:w="2800" w:type="dxa"/>
                <w:vMerge/>
                <w:hideMark/>
              </w:tcPr>
              <w:p w:rsidR="0026445A" w:rsidRPr="0026445A" w:rsidRDefault="0026445A" w:rsidP="0026445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26445A" w:rsidRPr="0026445A" w:rsidRDefault="0026445A" w:rsidP="0026445A">
                <w:pPr>
                  <w:rPr>
                    <w:rFonts w:eastAsia="Times New Roman" w:cs="Times New Roman"/>
                    <w:sz w:val="20"/>
                    <w:lang w:eastAsia="es-ES"/>
                  </w:rPr>
                </w:pPr>
              </w:p>
            </w:tc>
            <w:tc>
              <w:tcPr>
                <w:tcW w:w="242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98,94%</w:t>
                </w:r>
              </w:p>
            </w:tc>
            <w:tc>
              <w:tcPr>
                <w:tcW w:w="280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107,87%</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26445A" w:rsidRPr="0026445A" w:rsidRDefault="0026445A" w:rsidP="0026445A">
                <w:pPr>
                  <w:jc w:val="center"/>
                  <w:rPr>
                    <w:rFonts w:eastAsia="Times New Roman" w:cs="Times New Roman"/>
                    <w:sz w:val="20"/>
                    <w:lang w:eastAsia="es-ES"/>
                  </w:rPr>
                </w:pPr>
                <w:r w:rsidRPr="0026445A">
                  <w:rPr>
                    <w:rFonts w:eastAsia="Times New Roman" w:cs="Times New Roman"/>
                    <w:sz w:val="20"/>
                    <w:lang w:eastAsia="es-ES"/>
                  </w:rPr>
                  <w:t>(número de varones dividido entre número de mujeres</w:t>
                </w:r>
              </w:p>
            </w:tc>
            <w:tc>
              <w:tcPr>
                <w:tcW w:w="242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c>
              <w:tcPr>
                <w:tcW w:w="280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26445A" w:rsidRPr="0026445A" w:rsidRDefault="0026445A" w:rsidP="0026445A">
                <w:pPr>
                  <w:jc w:val="center"/>
                  <w:rPr>
                    <w:rFonts w:eastAsia="Times New Roman" w:cs="Times New Roman"/>
                    <w:sz w:val="20"/>
                    <w:lang w:eastAsia="es-ES"/>
                  </w:rPr>
                </w:pPr>
              </w:p>
            </w:tc>
            <w:tc>
              <w:tcPr>
                <w:tcW w:w="242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lang w:eastAsia="es-ES"/>
                  </w:rPr>
                </w:pPr>
              </w:p>
            </w:tc>
            <w:tc>
              <w:tcPr>
                <w:tcW w:w="280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lang w:eastAsia="es-ES"/>
                  </w:rPr>
                </w:pP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26445A" w:rsidRPr="0026445A" w:rsidRDefault="0026445A" w:rsidP="0026445A">
                <w:pPr>
                  <w:jc w:val="center"/>
                  <w:rPr>
                    <w:rFonts w:eastAsia="Times New Roman" w:cs="Times New Roman"/>
                    <w:sz w:val="20"/>
                    <w:lang w:eastAsia="es-ES"/>
                  </w:rPr>
                </w:pPr>
                <w:r w:rsidRPr="0026445A">
                  <w:rPr>
                    <w:rFonts w:eastAsia="Times New Roman" w:cs="Times New Roman"/>
                    <w:sz w:val="20"/>
                    <w:lang w:eastAsia="es-ES"/>
                  </w:rPr>
                  <w:t>Índice de maternidad</w:t>
                </w:r>
              </w:p>
            </w:tc>
            <w:tc>
              <w:tcPr>
                <w:tcW w:w="2420" w:type="dxa"/>
                <w:vMerge w:val="restart"/>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Aragón</w:t>
                </w:r>
              </w:p>
            </w:tc>
            <w:tc>
              <w:tcPr>
                <w:tcW w:w="2800" w:type="dxa"/>
                <w:vMerge w:val="restart"/>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GAL</w:t>
                </w: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26445A" w:rsidRPr="0026445A" w:rsidRDefault="0026445A" w:rsidP="0026445A">
                <w:pPr>
                  <w:rPr>
                    <w:rFonts w:eastAsia="Times New Roman" w:cs="Times New Roman"/>
                    <w:sz w:val="20"/>
                    <w:lang w:eastAsia="es-ES"/>
                  </w:rPr>
                </w:pPr>
              </w:p>
            </w:tc>
            <w:tc>
              <w:tcPr>
                <w:tcW w:w="2420" w:type="dxa"/>
                <w:vMerge/>
                <w:hideMark/>
              </w:tcPr>
              <w:p w:rsidR="0026445A" w:rsidRPr="0026445A" w:rsidRDefault="0026445A" w:rsidP="0026445A">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p>
            </w:tc>
            <w:tc>
              <w:tcPr>
                <w:tcW w:w="2800" w:type="dxa"/>
                <w:vMerge/>
                <w:hideMark/>
              </w:tcPr>
              <w:p w:rsidR="0026445A" w:rsidRPr="0026445A" w:rsidRDefault="0026445A" w:rsidP="0026445A">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26445A" w:rsidRPr="0026445A" w:rsidRDefault="0026445A" w:rsidP="0026445A">
                <w:pPr>
                  <w:rPr>
                    <w:rFonts w:eastAsia="Times New Roman" w:cs="Times New Roman"/>
                    <w:sz w:val="20"/>
                    <w:lang w:eastAsia="es-ES"/>
                  </w:rPr>
                </w:pPr>
              </w:p>
            </w:tc>
            <w:tc>
              <w:tcPr>
                <w:tcW w:w="242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20,92%</w:t>
                </w:r>
              </w:p>
            </w:tc>
            <w:tc>
              <w:tcPr>
                <w:tcW w:w="280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17,04%</w:t>
                </w: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26445A" w:rsidRPr="0026445A" w:rsidRDefault="0026445A" w:rsidP="0026445A">
                <w:pPr>
                  <w:jc w:val="center"/>
                  <w:rPr>
                    <w:rFonts w:eastAsia="Times New Roman" w:cs="Times New Roman"/>
                    <w:sz w:val="20"/>
                    <w:lang w:eastAsia="es-ES"/>
                  </w:rPr>
                </w:pPr>
                <w:r w:rsidRPr="0026445A">
                  <w:rPr>
                    <w:rFonts w:eastAsia="Times New Roman" w:cs="Times New Roman"/>
                    <w:sz w:val="20"/>
                    <w:lang w:eastAsia="es-ES"/>
                  </w:rPr>
                  <w:t>(número de niños de 0 a4 años entre mujeres de 15 a 49)</w:t>
                </w:r>
              </w:p>
            </w:tc>
            <w:tc>
              <w:tcPr>
                <w:tcW w:w="242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lang w:eastAsia="es-ES"/>
                  </w:rPr>
                </w:pPr>
              </w:p>
            </w:tc>
            <w:tc>
              <w:tcPr>
                <w:tcW w:w="280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lang w:eastAsia="es-ES"/>
                  </w:rPr>
                </w:pP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26445A" w:rsidRPr="0026445A" w:rsidRDefault="0026445A" w:rsidP="0026445A">
                <w:pPr>
                  <w:jc w:val="center"/>
                  <w:rPr>
                    <w:rFonts w:eastAsia="Times New Roman" w:cs="Times New Roman"/>
                    <w:sz w:val="20"/>
                    <w:lang w:eastAsia="es-ES"/>
                  </w:rPr>
                </w:pPr>
              </w:p>
            </w:tc>
            <w:tc>
              <w:tcPr>
                <w:tcW w:w="242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c>
              <w:tcPr>
                <w:tcW w:w="280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26445A" w:rsidRPr="0026445A" w:rsidRDefault="0026445A" w:rsidP="0026445A">
                <w:pPr>
                  <w:jc w:val="center"/>
                  <w:rPr>
                    <w:rFonts w:eastAsia="Times New Roman" w:cs="Times New Roman"/>
                    <w:sz w:val="20"/>
                    <w:lang w:eastAsia="es-ES"/>
                  </w:rPr>
                </w:pPr>
                <w:r w:rsidRPr="0026445A">
                  <w:rPr>
                    <w:rFonts w:eastAsia="Times New Roman" w:cs="Times New Roman"/>
                    <w:sz w:val="20"/>
                    <w:lang w:eastAsia="es-ES"/>
                  </w:rPr>
                  <w:t>Índice de potencialidad</w:t>
                </w:r>
              </w:p>
            </w:tc>
            <w:tc>
              <w:tcPr>
                <w:tcW w:w="2420" w:type="dxa"/>
                <w:vMerge w:val="restart"/>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Aragón</w:t>
                </w:r>
              </w:p>
            </w:tc>
            <w:tc>
              <w:tcPr>
                <w:tcW w:w="2800" w:type="dxa"/>
                <w:vMerge w:val="restart"/>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GAL</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26445A" w:rsidRPr="0026445A" w:rsidRDefault="0026445A" w:rsidP="0026445A">
                <w:pPr>
                  <w:rPr>
                    <w:rFonts w:eastAsia="Times New Roman" w:cs="Times New Roman"/>
                    <w:sz w:val="20"/>
                    <w:lang w:eastAsia="es-ES"/>
                  </w:rPr>
                </w:pPr>
              </w:p>
            </w:tc>
            <w:tc>
              <w:tcPr>
                <w:tcW w:w="2420" w:type="dxa"/>
                <w:vMerge/>
                <w:hideMark/>
              </w:tcPr>
              <w:p w:rsidR="0026445A" w:rsidRPr="0026445A" w:rsidRDefault="0026445A" w:rsidP="0026445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p>
            </w:tc>
            <w:tc>
              <w:tcPr>
                <w:tcW w:w="2800" w:type="dxa"/>
                <w:vMerge/>
                <w:hideMark/>
              </w:tcPr>
              <w:p w:rsidR="0026445A" w:rsidRPr="0026445A" w:rsidRDefault="0026445A" w:rsidP="0026445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26445A" w:rsidRPr="0026445A" w:rsidRDefault="0026445A" w:rsidP="0026445A">
                <w:pPr>
                  <w:rPr>
                    <w:rFonts w:eastAsia="Times New Roman" w:cs="Times New Roman"/>
                    <w:sz w:val="20"/>
                    <w:lang w:eastAsia="es-ES"/>
                  </w:rPr>
                </w:pPr>
              </w:p>
            </w:tc>
            <w:tc>
              <w:tcPr>
                <w:tcW w:w="242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77,01%</w:t>
                </w:r>
              </w:p>
            </w:tc>
            <w:tc>
              <w:tcPr>
                <w:tcW w:w="280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84,03%</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26445A" w:rsidRPr="0026445A" w:rsidRDefault="0026445A" w:rsidP="0026445A">
                <w:pPr>
                  <w:jc w:val="center"/>
                  <w:rPr>
                    <w:rFonts w:eastAsia="Times New Roman" w:cs="Times New Roman"/>
                    <w:sz w:val="20"/>
                    <w:lang w:eastAsia="es-ES"/>
                  </w:rPr>
                </w:pPr>
                <w:r w:rsidRPr="0026445A">
                  <w:rPr>
                    <w:rFonts w:eastAsia="Times New Roman" w:cs="Times New Roman"/>
                    <w:sz w:val="20"/>
                    <w:lang w:eastAsia="es-ES"/>
                  </w:rPr>
                  <w:t>(número mujeres de 20 a 34 entre mujeres de 35 a 49)</w:t>
                </w:r>
              </w:p>
            </w:tc>
            <w:tc>
              <w:tcPr>
                <w:tcW w:w="242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c>
              <w:tcPr>
                <w:tcW w:w="280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26445A" w:rsidRPr="0026445A" w:rsidRDefault="0026445A" w:rsidP="0026445A">
                <w:pPr>
                  <w:jc w:val="center"/>
                  <w:rPr>
                    <w:rFonts w:eastAsia="Times New Roman" w:cs="Times New Roman"/>
                    <w:sz w:val="20"/>
                    <w:lang w:eastAsia="es-ES"/>
                  </w:rPr>
                </w:pPr>
              </w:p>
            </w:tc>
            <w:tc>
              <w:tcPr>
                <w:tcW w:w="242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lang w:eastAsia="es-ES"/>
                  </w:rPr>
                </w:pPr>
              </w:p>
            </w:tc>
            <w:tc>
              <w:tcPr>
                <w:tcW w:w="280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lang w:eastAsia="es-ES"/>
                  </w:rPr>
                </w:pP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26445A" w:rsidRPr="0026445A" w:rsidRDefault="0026445A" w:rsidP="0026445A">
                <w:pPr>
                  <w:jc w:val="center"/>
                  <w:rPr>
                    <w:rFonts w:eastAsia="Times New Roman" w:cs="Times New Roman"/>
                    <w:sz w:val="20"/>
                    <w:lang w:eastAsia="es-ES"/>
                  </w:rPr>
                </w:pPr>
              </w:p>
            </w:tc>
            <w:tc>
              <w:tcPr>
                <w:tcW w:w="242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c>
              <w:tcPr>
                <w:tcW w:w="280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26445A" w:rsidRPr="0026445A" w:rsidRDefault="0026445A" w:rsidP="0026445A">
                <w:pPr>
                  <w:jc w:val="center"/>
                  <w:rPr>
                    <w:rFonts w:eastAsia="Times New Roman" w:cs="Times New Roman"/>
                    <w:sz w:val="20"/>
                    <w:lang w:eastAsia="es-ES"/>
                  </w:rPr>
                </w:pPr>
                <w:r w:rsidRPr="0026445A">
                  <w:rPr>
                    <w:rFonts w:eastAsia="Times New Roman" w:cs="Times New Roman"/>
                    <w:sz w:val="20"/>
                    <w:lang w:eastAsia="es-ES"/>
                  </w:rPr>
                  <w:t xml:space="preserve">Coeficiente de </w:t>
                </w:r>
                <w:proofErr w:type="spellStart"/>
                <w:r w:rsidRPr="0026445A">
                  <w:rPr>
                    <w:rFonts w:eastAsia="Times New Roman" w:cs="Times New Roman"/>
                    <w:sz w:val="20"/>
                    <w:lang w:eastAsia="es-ES"/>
                  </w:rPr>
                  <w:t>sustitucion</w:t>
                </w:r>
                <w:proofErr w:type="spellEnd"/>
              </w:p>
            </w:tc>
            <w:tc>
              <w:tcPr>
                <w:tcW w:w="2420" w:type="dxa"/>
                <w:vMerge w:val="restart"/>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Aragón</w:t>
                </w:r>
              </w:p>
            </w:tc>
            <w:tc>
              <w:tcPr>
                <w:tcW w:w="2800" w:type="dxa"/>
                <w:vMerge w:val="restart"/>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GAL</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26445A" w:rsidRPr="0026445A" w:rsidRDefault="0026445A" w:rsidP="0026445A">
                <w:pPr>
                  <w:rPr>
                    <w:rFonts w:eastAsia="Times New Roman" w:cs="Times New Roman"/>
                    <w:sz w:val="20"/>
                    <w:lang w:eastAsia="es-ES"/>
                  </w:rPr>
                </w:pPr>
              </w:p>
            </w:tc>
            <w:tc>
              <w:tcPr>
                <w:tcW w:w="2420" w:type="dxa"/>
                <w:vMerge/>
                <w:hideMark/>
              </w:tcPr>
              <w:p w:rsidR="0026445A" w:rsidRPr="0026445A" w:rsidRDefault="0026445A" w:rsidP="0026445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p>
            </w:tc>
            <w:tc>
              <w:tcPr>
                <w:tcW w:w="2800" w:type="dxa"/>
                <w:vMerge/>
                <w:hideMark/>
              </w:tcPr>
              <w:p w:rsidR="0026445A" w:rsidRPr="0026445A" w:rsidRDefault="0026445A" w:rsidP="0026445A">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lang w:eastAsia="es-ES"/>
                  </w:rPr>
                </w:pPr>
              </w:p>
            </w:tc>
          </w:tr>
          <w:tr w:rsidR="0026445A" w:rsidRPr="0026445A" w:rsidTr="0026445A">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26445A" w:rsidRPr="0026445A" w:rsidRDefault="0026445A" w:rsidP="0026445A">
                <w:pPr>
                  <w:rPr>
                    <w:rFonts w:eastAsia="Times New Roman" w:cs="Times New Roman"/>
                    <w:sz w:val="20"/>
                    <w:lang w:eastAsia="es-ES"/>
                  </w:rPr>
                </w:pPr>
              </w:p>
            </w:tc>
            <w:tc>
              <w:tcPr>
                <w:tcW w:w="242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80,06%</w:t>
                </w:r>
              </w:p>
            </w:tc>
            <w:tc>
              <w:tcPr>
                <w:tcW w:w="2800" w:type="dxa"/>
                <w:noWrap/>
                <w:hideMark/>
              </w:tcPr>
              <w:p w:rsidR="0026445A" w:rsidRPr="0026445A" w:rsidRDefault="0026445A" w:rsidP="0026445A">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lang w:eastAsia="es-ES"/>
                  </w:rPr>
                </w:pPr>
                <w:r w:rsidRPr="0026445A">
                  <w:rPr>
                    <w:rFonts w:eastAsia="Times New Roman" w:cs="Times New Roman"/>
                    <w:b/>
                    <w:bCs/>
                    <w:sz w:val="20"/>
                    <w:lang w:eastAsia="es-ES"/>
                  </w:rPr>
                  <w:t>56,68%</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26445A" w:rsidRPr="0026445A" w:rsidRDefault="0026445A" w:rsidP="0026445A">
                <w:pPr>
                  <w:jc w:val="center"/>
                  <w:rPr>
                    <w:rFonts w:eastAsia="Times New Roman" w:cs="Times New Roman"/>
                    <w:sz w:val="20"/>
                    <w:lang w:eastAsia="es-ES"/>
                  </w:rPr>
                </w:pPr>
                <w:r w:rsidRPr="0026445A">
                  <w:rPr>
                    <w:rFonts w:eastAsia="Times New Roman" w:cs="Times New Roman"/>
                    <w:sz w:val="20"/>
                    <w:lang w:eastAsia="es-ES"/>
                  </w:rPr>
                  <w:t>(número de personas de 10 a 14 años entre personas de 60 a 64 años)</w:t>
                </w:r>
              </w:p>
            </w:tc>
            <w:tc>
              <w:tcPr>
                <w:tcW w:w="242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c>
              <w:tcPr>
                <w:tcW w:w="2800"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Default="0026445A" w:rsidP="00BB78C6">
          <w:pPr>
            <w:ind w:left="142"/>
            <w:jc w:val="both"/>
            <w:rPr>
              <w:b/>
              <w:sz w:val="24"/>
              <w:szCs w:val="24"/>
            </w:rPr>
          </w:pPr>
          <w:r>
            <w:rPr>
              <w:noProof/>
              <w:lang w:eastAsia="es-ES"/>
            </w:rPr>
            <w:drawing>
              <wp:inline distT="0" distB="0" distL="0" distR="0" wp14:anchorId="394732C3" wp14:editId="7B7332EF">
                <wp:extent cx="5400040" cy="2668859"/>
                <wp:effectExtent l="0" t="0" r="10160" b="177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934" w:rsidRPr="00974B32" w:rsidRDefault="00A33934" w:rsidP="00BB78C6">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26445A" w:rsidP="00FA17CC">
          <w:pPr>
            <w:pStyle w:val="Prrafodelista"/>
            <w:ind w:hanging="578"/>
            <w:jc w:val="both"/>
            <w:rPr>
              <w:b/>
              <w:sz w:val="24"/>
              <w:szCs w:val="24"/>
            </w:rPr>
          </w:pPr>
          <w:r>
            <w:rPr>
              <w:noProof/>
              <w:lang w:eastAsia="es-ES"/>
            </w:rPr>
            <w:drawing>
              <wp:inline distT="0" distB="0" distL="0" distR="0" wp14:anchorId="0D7601B3" wp14:editId="032BE1B5">
                <wp:extent cx="5400040" cy="2544214"/>
                <wp:effectExtent l="0" t="0" r="10160" b="2794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jc w:val="center"/>
            <w:tblLook w:val="04A0" w:firstRow="1" w:lastRow="0" w:firstColumn="1" w:lastColumn="0" w:noHBand="0" w:noVBand="1"/>
          </w:tblPr>
          <w:tblGrid>
            <w:gridCol w:w="3800"/>
            <w:gridCol w:w="1517"/>
            <w:gridCol w:w="1443"/>
            <w:gridCol w:w="1353"/>
            <w:gridCol w:w="1287"/>
          </w:tblGrid>
          <w:tr w:rsidR="0026445A" w:rsidRPr="0026445A" w:rsidTr="0026445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 </w:t>
                </w:r>
              </w:p>
            </w:tc>
            <w:tc>
              <w:tcPr>
                <w:tcW w:w="2960" w:type="dxa"/>
                <w:gridSpan w:val="2"/>
                <w:noWrap/>
                <w:hideMark/>
              </w:tcPr>
              <w:p w:rsidR="0026445A" w:rsidRPr="0026445A" w:rsidRDefault="0026445A" w:rsidP="002644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2012</w:t>
                </w:r>
              </w:p>
            </w:tc>
            <w:tc>
              <w:tcPr>
                <w:tcW w:w="2640" w:type="dxa"/>
                <w:gridSpan w:val="2"/>
                <w:noWrap/>
                <w:hideMark/>
              </w:tcPr>
              <w:p w:rsidR="0026445A" w:rsidRPr="0026445A" w:rsidRDefault="0026445A" w:rsidP="002644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2011</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Arial" w:eastAsia="Times New Roman" w:hAnsi="Arial" w:cs="Arial"/>
                    <w:sz w:val="16"/>
                    <w:szCs w:val="16"/>
                    <w:lang w:eastAsia="es-ES"/>
                  </w:rPr>
                </w:pPr>
                <w:r w:rsidRPr="0026445A">
                  <w:rPr>
                    <w:rFonts w:ascii="Arial" w:eastAsia="Times New Roman" w:hAnsi="Arial" w:cs="Arial"/>
                    <w:sz w:val="16"/>
                    <w:szCs w:val="16"/>
                    <w:lang w:eastAsia="es-ES"/>
                  </w:rPr>
                  <w:t>Nacidos vivos por cada mil habitantes.</w:t>
                </w:r>
              </w:p>
            </w:tc>
            <w:tc>
              <w:tcPr>
                <w:tcW w:w="151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Aragón</w:t>
                </w:r>
              </w:p>
            </w:tc>
            <w:tc>
              <w:tcPr>
                <w:tcW w:w="144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GAL</w:t>
                </w:r>
              </w:p>
            </w:tc>
            <w:tc>
              <w:tcPr>
                <w:tcW w:w="135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Aragón</w:t>
                </w:r>
              </w:p>
            </w:tc>
            <w:tc>
              <w:tcPr>
                <w:tcW w:w="128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GAL</w:t>
                </w:r>
              </w:p>
            </w:tc>
          </w:tr>
          <w:tr w:rsidR="0026445A" w:rsidRPr="0026445A" w:rsidTr="0026445A">
            <w:trPr>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Arial" w:eastAsia="Times New Roman" w:hAnsi="Arial" w:cs="Arial"/>
                    <w:sz w:val="16"/>
                    <w:szCs w:val="16"/>
                    <w:lang w:eastAsia="es-ES"/>
                  </w:rPr>
                </w:pPr>
                <w:r w:rsidRPr="0026445A">
                  <w:rPr>
                    <w:rFonts w:ascii="Arial" w:eastAsia="Times New Roman" w:hAnsi="Arial" w:cs="Arial"/>
                    <w:sz w:val="16"/>
                    <w:szCs w:val="16"/>
                    <w:lang w:eastAsia="es-ES"/>
                  </w:rPr>
                  <w:t>Tasa Bruta de Natalidad (‰).</w:t>
                </w:r>
              </w:p>
            </w:tc>
            <w:tc>
              <w:tcPr>
                <w:tcW w:w="151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8,878</w:t>
                </w:r>
              </w:p>
            </w:tc>
            <w:tc>
              <w:tcPr>
                <w:tcW w:w="144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6,010</w:t>
                </w:r>
              </w:p>
            </w:tc>
            <w:tc>
              <w:tcPr>
                <w:tcW w:w="135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9,366</w:t>
                </w:r>
              </w:p>
            </w:tc>
            <w:tc>
              <w:tcPr>
                <w:tcW w:w="128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5,471</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Calibri" w:eastAsia="Times New Roman" w:hAnsi="Calibri" w:cs="Times New Roman"/>
                    <w:color w:val="000000"/>
                    <w:lang w:eastAsia="es-ES"/>
                  </w:rPr>
                </w:pPr>
              </w:p>
            </w:tc>
            <w:tc>
              <w:tcPr>
                <w:tcW w:w="151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26445A" w:rsidRPr="0026445A" w:rsidTr="0026445A">
            <w:trPr>
              <w:trHeight w:val="300"/>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Arial" w:eastAsia="Times New Roman" w:hAnsi="Arial" w:cs="Arial"/>
                    <w:sz w:val="16"/>
                    <w:szCs w:val="16"/>
                    <w:lang w:eastAsia="es-ES"/>
                  </w:rPr>
                </w:pPr>
                <w:r w:rsidRPr="0026445A">
                  <w:rPr>
                    <w:rFonts w:ascii="Arial" w:eastAsia="Times New Roman" w:hAnsi="Arial" w:cs="Arial"/>
                    <w:sz w:val="16"/>
                    <w:szCs w:val="16"/>
                    <w:lang w:eastAsia="es-ES"/>
                  </w:rPr>
                  <w:t>Defunciones por cada mil habitantes.</w:t>
                </w:r>
              </w:p>
            </w:tc>
            <w:tc>
              <w:tcPr>
                <w:tcW w:w="151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Aragón</w:t>
                </w:r>
              </w:p>
            </w:tc>
            <w:tc>
              <w:tcPr>
                <w:tcW w:w="144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GAL</w:t>
                </w:r>
              </w:p>
            </w:tc>
            <w:tc>
              <w:tcPr>
                <w:tcW w:w="135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Aragón</w:t>
                </w:r>
              </w:p>
            </w:tc>
            <w:tc>
              <w:tcPr>
                <w:tcW w:w="128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GAL</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Arial" w:eastAsia="Times New Roman" w:hAnsi="Arial" w:cs="Arial"/>
                    <w:sz w:val="16"/>
                    <w:szCs w:val="16"/>
                    <w:lang w:eastAsia="es-ES"/>
                  </w:rPr>
                </w:pPr>
                <w:r w:rsidRPr="0026445A">
                  <w:rPr>
                    <w:rFonts w:ascii="Arial" w:eastAsia="Times New Roman" w:hAnsi="Arial" w:cs="Arial"/>
                    <w:sz w:val="16"/>
                    <w:szCs w:val="16"/>
                    <w:lang w:eastAsia="es-ES"/>
                  </w:rPr>
                  <w:t>Tasa Bruta de Mortalidad (‰).</w:t>
                </w:r>
              </w:p>
            </w:tc>
            <w:tc>
              <w:tcPr>
                <w:tcW w:w="151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10,170</w:t>
                </w:r>
              </w:p>
            </w:tc>
            <w:tc>
              <w:tcPr>
                <w:tcW w:w="144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13,619</w:t>
                </w:r>
              </w:p>
            </w:tc>
            <w:tc>
              <w:tcPr>
                <w:tcW w:w="135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10,067</w:t>
                </w:r>
              </w:p>
            </w:tc>
            <w:tc>
              <w:tcPr>
                <w:tcW w:w="128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13,628</w:t>
                </w:r>
              </w:p>
            </w:tc>
          </w:tr>
          <w:tr w:rsidR="0026445A" w:rsidRPr="0026445A" w:rsidTr="0026445A">
            <w:trPr>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Calibri" w:eastAsia="Times New Roman" w:hAnsi="Calibri" w:cs="Times New Roman"/>
                    <w:color w:val="000000"/>
                    <w:lang w:eastAsia="es-ES"/>
                  </w:rPr>
                </w:pPr>
              </w:p>
            </w:tc>
            <w:tc>
              <w:tcPr>
                <w:tcW w:w="151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800" w:type="dxa"/>
                <w:hideMark/>
              </w:tcPr>
              <w:p w:rsidR="0026445A" w:rsidRPr="0026445A" w:rsidRDefault="0026445A" w:rsidP="0026445A">
                <w:pPr>
                  <w:rPr>
                    <w:rFonts w:ascii="Arial" w:eastAsia="Times New Roman" w:hAnsi="Arial" w:cs="Arial"/>
                    <w:sz w:val="16"/>
                    <w:szCs w:val="16"/>
                    <w:lang w:eastAsia="es-ES"/>
                  </w:rPr>
                </w:pPr>
                <w:r w:rsidRPr="0026445A">
                  <w:rPr>
                    <w:rFonts w:ascii="Arial" w:eastAsia="Times New Roman" w:hAnsi="Arial" w:cs="Arial"/>
                    <w:sz w:val="16"/>
                    <w:szCs w:val="16"/>
                    <w:lang w:eastAsia="es-ES"/>
                  </w:rPr>
                  <w:t>Saldo vegetativo (nacimientos menos defunciones) por cada mil habitantes.</w:t>
                </w:r>
              </w:p>
            </w:tc>
            <w:tc>
              <w:tcPr>
                <w:tcW w:w="151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Aragón</w:t>
                </w:r>
              </w:p>
            </w:tc>
            <w:tc>
              <w:tcPr>
                <w:tcW w:w="144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GAL</w:t>
                </w:r>
              </w:p>
            </w:tc>
            <w:tc>
              <w:tcPr>
                <w:tcW w:w="135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Aragón</w:t>
                </w:r>
              </w:p>
            </w:tc>
            <w:tc>
              <w:tcPr>
                <w:tcW w:w="128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GAL</w:t>
                </w:r>
              </w:p>
            </w:tc>
          </w:tr>
          <w:tr w:rsidR="0026445A" w:rsidRPr="0026445A" w:rsidTr="0026445A">
            <w:trPr>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Arial" w:eastAsia="Times New Roman" w:hAnsi="Arial" w:cs="Arial"/>
                    <w:sz w:val="16"/>
                    <w:szCs w:val="16"/>
                    <w:lang w:eastAsia="es-ES"/>
                  </w:rPr>
                </w:pPr>
                <w:r w:rsidRPr="0026445A">
                  <w:rPr>
                    <w:rFonts w:ascii="Arial" w:eastAsia="Times New Roman" w:hAnsi="Arial" w:cs="Arial"/>
                    <w:sz w:val="16"/>
                    <w:szCs w:val="16"/>
                    <w:lang w:eastAsia="es-ES"/>
                  </w:rPr>
                  <w:t>Tasa Bruta de Crecimiento Vegetativo (‰)</w:t>
                </w:r>
              </w:p>
            </w:tc>
            <w:tc>
              <w:tcPr>
                <w:tcW w:w="151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-1,292</w:t>
                </w:r>
              </w:p>
            </w:tc>
            <w:tc>
              <w:tcPr>
                <w:tcW w:w="144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-7,609</w:t>
                </w:r>
              </w:p>
            </w:tc>
            <w:tc>
              <w:tcPr>
                <w:tcW w:w="135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-0,700</w:t>
                </w:r>
              </w:p>
            </w:tc>
            <w:tc>
              <w:tcPr>
                <w:tcW w:w="128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-8,158</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Calibri" w:eastAsia="Times New Roman" w:hAnsi="Calibri" w:cs="Times New Roman"/>
                    <w:color w:val="000000"/>
                    <w:lang w:eastAsia="es-ES"/>
                  </w:rPr>
                </w:pPr>
              </w:p>
            </w:tc>
            <w:tc>
              <w:tcPr>
                <w:tcW w:w="151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26445A" w:rsidRPr="0026445A" w:rsidTr="0026445A">
            <w:trPr>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Arial" w:eastAsia="Times New Roman" w:hAnsi="Arial" w:cs="Arial"/>
                    <w:sz w:val="16"/>
                    <w:szCs w:val="16"/>
                    <w:lang w:eastAsia="es-ES"/>
                  </w:rPr>
                </w:pPr>
                <w:r w:rsidRPr="0026445A">
                  <w:rPr>
                    <w:rFonts w:ascii="Arial" w:eastAsia="Times New Roman" w:hAnsi="Arial" w:cs="Arial"/>
                    <w:sz w:val="16"/>
                    <w:szCs w:val="16"/>
                    <w:lang w:eastAsia="es-ES"/>
                  </w:rPr>
                  <w:t>Matrimonios por cada mil habitantes.</w:t>
                </w:r>
              </w:p>
            </w:tc>
            <w:tc>
              <w:tcPr>
                <w:tcW w:w="151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Aragón</w:t>
                </w:r>
              </w:p>
            </w:tc>
            <w:tc>
              <w:tcPr>
                <w:tcW w:w="144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GAL</w:t>
                </w:r>
              </w:p>
            </w:tc>
            <w:tc>
              <w:tcPr>
                <w:tcW w:w="1353"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Aragón</w:t>
                </w:r>
              </w:p>
            </w:tc>
            <w:tc>
              <w:tcPr>
                <w:tcW w:w="1287" w:type="dxa"/>
                <w:noWrap/>
                <w:hideMark/>
              </w:tcPr>
              <w:p w:rsidR="0026445A" w:rsidRPr="0026445A" w:rsidRDefault="0026445A" w:rsidP="002644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GAL</w:t>
                </w:r>
              </w:p>
            </w:tc>
          </w:tr>
          <w:tr w:rsidR="0026445A" w:rsidRPr="0026445A" w:rsidTr="002644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rsidR="0026445A" w:rsidRPr="0026445A" w:rsidRDefault="0026445A" w:rsidP="0026445A">
                <w:pPr>
                  <w:rPr>
                    <w:rFonts w:ascii="Arial" w:eastAsia="Times New Roman" w:hAnsi="Arial" w:cs="Arial"/>
                    <w:sz w:val="16"/>
                    <w:szCs w:val="16"/>
                    <w:lang w:eastAsia="es-ES"/>
                  </w:rPr>
                </w:pPr>
                <w:r w:rsidRPr="0026445A">
                  <w:rPr>
                    <w:rFonts w:ascii="Arial" w:eastAsia="Times New Roman" w:hAnsi="Arial" w:cs="Arial"/>
                    <w:sz w:val="16"/>
                    <w:szCs w:val="16"/>
                    <w:lang w:eastAsia="es-ES"/>
                  </w:rPr>
                  <w:t>Tasa Bruta de Nupcialidad (‰).</w:t>
                </w:r>
              </w:p>
            </w:tc>
            <w:tc>
              <w:tcPr>
                <w:tcW w:w="151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3,492</w:t>
                </w:r>
              </w:p>
            </w:tc>
            <w:tc>
              <w:tcPr>
                <w:tcW w:w="144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2,375</w:t>
                </w:r>
              </w:p>
            </w:tc>
            <w:tc>
              <w:tcPr>
                <w:tcW w:w="1353"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3,205</w:t>
                </w:r>
              </w:p>
            </w:tc>
            <w:tc>
              <w:tcPr>
                <w:tcW w:w="1287" w:type="dxa"/>
                <w:noWrap/>
                <w:hideMark/>
              </w:tcPr>
              <w:p w:rsidR="0026445A" w:rsidRPr="0026445A" w:rsidRDefault="0026445A" w:rsidP="002644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26445A">
                  <w:rPr>
                    <w:rFonts w:ascii="Calibri" w:eastAsia="Times New Roman" w:hAnsi="Calibri" w:cs="Times New Roman"/>
                    <w:color w:val="000000"/>
                    <w:lang w:eastAsia="es-ES"/>
                  </w:rPr>
                  <w:t>1,536</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26445A" w:rsidP="00190C45">
          <w:pPr>
            <w:pStyle w:val="Prrafodelista"/>
            <w:jc w:val="center"/>
            <w:rPr>
              <w:b/>
              <w:sz w:val="24"/>
              <w:szCs w:val="24"/>
            </w:rPr>
          </w:pPr>
          <w:r>
            <w:rPr>
              <w:noProof/>
              <w:lang w:eastAsia="es-ES"/>
            </w:rPr>
            <w:drawing>
              <wp:inline distT="0" distB="0" distL="0" distR="0" wp14:anchorId="457EA0A4" wp14:editId="25E57CCA">
                <wp:extent cx="5039360" cy="2387600"/>
                <wp:effectExtent l="0" t="0" r="27940" b="1270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DA6CCE">
          <w:pPr>
            <w:pStyle w:val="Prrafodelista"/>
            <w:jc w:val="both"/>
            <w:rPr>
              <w:b/>
              <w:sz w:val="24"/>
              <w:szCs w:val="24"/>
            </w:rPr>
          </w:pPr>
        </w:p>
        <w:p w:rsidR="00E87CD9" w:rsidRDefault="00541517" w:rsidP="00106908">
          <w:pPr>
            <w:pStyle w:val="Prrafodelista"/>
            <w:ind w:left="142" w:right="-568"/>
            <w:jc w:val="both"/>
            <w:rPr>
              <w:b/>
              <w:sz w:val="24"/>
              <w:szCs w:val="24"/>
            </w:rPr>
          </w:pPr>
          <w:r>
            <w:rPr>
              <w:b/>
              <w:noProof/>
              <w:sz w:val="24"/>
              <w:szCs w:val="24"/>
              <w:lang w:eastAsia="es-ES"/>
            </w:rPr>
            <w:drawing>
              <wp:inline distT="0" distB="0" distL="0" distR="0" wp14:anchorId="6FF10741" wp14:editId="0CB03975">
                <wp:extent cx="2696528" cy="1513840"/>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6528" cy="1513840"/>
                        </a:xfrm>
                        <a:prstGeom prst="rect">
                          <a:avLst/>
                        </a:prstGeom>
                        <a:noFill/>
                      </pic:spPr>
                    </pic:pic>
                  </a:graphicData>
                </a:graphic>
              </wp:inline>
            </w:drawing>
          </w:r>
          <w:r>
            <w:rPr>
              <w:b/>
              <w:noProof/>
              <w:sz w:val="24"/>
              <w:szCs w:val="24"/>
              <w:lang w:eastAsia="es-ES"/>
            </w:rPr>
            <w:drawing>
              <wp:inline distT="0" distB="0" distL="0" distR="0" wp14:anchorId="5F990642" wp14:editId="0C91FA21">
                <wp:extent cx="2692400" cy="15135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191" cy="1515124"/>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Pr="00287406" w:rsidRDefault="008222AC" w:rsidP="00287406">
          <w:pPr>
            <w:jc w:val="both"/>
            <w:rPr>
              <w:b/>
              <w:sz w:val="24"/>
              <w:szCs w:val="24"/>
            </w:rPr>
          </w:pPr>
        </w:p>
        <w:p w:rsidR="00BB47F5" w:rsidRDefault="00BB47F5"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573589E5" wp14:editId="3BF80217">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094A89" w:rsidP="00DA6CCE">
          <w:pPr>
            <w:pStyle w:val="Prrafodelista"/>
            <w:tabs>
              <w:tab w:val="left" w:pos="3456"/>
            </w:tabs>
            <w:ind w:left="284"/>
            <w:jc w:val="both"/>
            <w:rPr>
              <w:b/>
            </w:rPr>
          </w:pPr>
          <w:r>
            <w:rPr>
              <w:noProof/>
              <w:lang w:eastAsia="es-ES"/>
            </w:rPr>
            <w:drawing>
              <wp:inline distT="0" distB="0" distL="0" distR="0" wp14:anchorId="3474F569" wp14:editId="05F79ACF">
                <wp:extent cx="5630980" cy="3169920"/>
                <wp:effectExtent l="0" t="0" r="27305" b="1143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Default="00094A89" w:rsidP="002748A7">
          <w:pPr>
            <w:pStyle w:val="Prrafodelista"/>
            <w:tabs>
              <w:tab w:val="left" w:pos="3456"/>
            </w:tabs>
            <w:ind w:left="284"/>
            <w:jc w:val="both"/>
            <w:rPr>
              <w:b/>
            </w:rPr>
          </w:pPr>
          <w:r>
            <w:rPr>
              <w:noProof/>
              <w:lang w:eastAsia="es-ES"/>
            </w:rPr>
            <w:drawing>
              <wp:inline distT="0" distB="0" distL="0" distR="0" wp14:anchorId="06FAACA0" wp14:editId="59BD3D28">
                <wp:extent cx="5628640" cy="3200400"/>
                <wp:effectExtent l="0" t="0" r="10160"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74D8" w:rsidRPr="002748A7" w:rsidRDefault="008274D8" w:rsidP="002748A7">
          <w:pPr>
            <w:pStyle w:val="Prrafodelista"/>
            <w:tabs>
              <w:tab w:val="left" w:pos="3456"/>
            </w:tabs>
            <w:ind w:left="284"/>
            <w:jc w:val="both"/>
            <w:rPr>
              <w:b/>
            </w:rPr>
          </w:pPr>
        </w:p>
        <w:p w:rsidR="00A84D47" w:rsidRDefault="00A84D47" w:rsidP="00DA6CCE">
          <w:pPr>
            <w:pStyle w:val="Prrafodelista"/>
            <w:tabs>
              <w:tab w:val="left" w:pos="3456"/>
            </w:tabs>
            <w:jc w:val="both"/>
            <w:rPr>
              <w:b/>
            </w:rPr>
          </w:pPr>
        </w:p>
        <w:p w:rsidR="009E04F8" w:rsidRDefault="009E04F8"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lastRenderedPageBreak/>
            <w:t xml:space="preserve">Estructura de altas en la seguridad social por sexo y grupos de edad (Septiembre 2014) </w:t>
          </w:r>
        </w:p>
        <w:p w:rsidR="00A84D47" w:rsidRDefault="00094A89" w:rsidP="00DA6CCE">
          <w:pPr>
            <w:pStyle w:val="Prrafodelista"/>
            <w:tabs>
              <w:tab w:val="left" w:pos="3456"/>
            </w:tabs>
            <w:ind w:left="0"/>
            <w:jc w:val="both"/>
            <w:rPr>
              <w:b/>
            </w:rPr>
          </w:pPr>
          <w:r>
            <w:rPr>
              <w:noProof/>
              <w:lang w:eastAsia="es-ES"/>
            </w:rPr>
            <w:drawing>
              <wp:inline distT="0" distB="0" distL="0" distR="0" wp14:anchorId="4BE008DD" wp14:editId="6CC0DE40">
                <wp:extent cx="5872480" cy="3322320"/>
                <wp:effectExtent l="0" t="0" r="13970" b="1143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094A89" w:rsidP="00DA6CCE">
          <w:pPr>
            <w:pStyle w:val="Prrafodelista"/>
            <w:tabs>
              <w:tab w:val="left" w:pos="3456"/>
            </w:tabs>
            <w:ind w:left="0"/>
            <w:jc w:val="both"/>
            <w:rPr>
              <w:b/>
            </w:rPr>
          </w:pPr>
          <w:r>
            <w:rPr>
              <w:noProof/>
              <w:lang w:eastAsia="es-ES"/>
            </w:rPr>
            <w:drawing>
              <wp:inline distT="0" distB="0" distL="0" distR="0" wp14:anchorId="3E1B2088" wp14:editId="31BBCECF">
                <wp:extent cx="5923280" cy="3698240"/>
                <wp:effectExtent l="0" t="0" r="20320" b="1651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lastRenderedPageBreak/>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433104" w:rsidP="00DA6CCE">
          <w:pPr>
            <w:pStyle w:val="Prrafodelista"/>
            <w:tabs>
              <w:tab w:val="left" w:pos="3456"/>
            </w:tabs>
            <w:ind w:left="0"/>
            <w:jc w:val="both"/>
            <w:rPr>
              <w:b/>
            </w:rPr>
          </w:pPr>
          <w:r>
            <w:rPr>
              <w:noProof/>
              <w:lang w:eastAsia="es-ES"/>
            </w:rPr>
            <w:drawing>
              <wp:inline distT="0" distB="0" distL="0" distR="0" wp14:anchorId="0CF9A708" wp14:editId="60898A7D">
                <wp:extent cx="5974080" cy="3413760"/>
                <wp:effectExtent l="0" t="0" r="26670" b="1524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Default="00433104" w:rsidP="00695C58">
          <w:pPr>
            <w:pStyle w:val="Prrafodelista"/>
            <w:tabs>
              <w:tab w:val="left" w:pos="3456"/>
            </w:tabs>
            <w:ind w:left="0"/>
            <w:jc w:val="both"/>
            <w:rPr>
              <w:b/>
            </w:rPr>
          </w:pPr>
          <w:r>
            <w:rPr>
              <w:noProof/>
              <w:lang w:eastAsia="es-ES"/>
            </w:rPr>
            <w:drawing>
              <wp:inline distT="0" distB="0" distL="0" distR="0" wp14:anchorId="1792BA2D" wp14:editId="72FCFEE0">
                <wp:extent cx="5892800" cy="3718560"/>
                <wp:effectExtent l="0" t="0" r="12700" b="1524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3104" w:rsidRDefault="00433104" w:rsidP="00695C58">
          <w:pPr>
            <w:pStyle w:val="Prrafodelista"/>
            <w:tabs>
              <w:tab w:val="left" w:pos="3456"/>
            </w:tabs>
            <w:ind w:left="0"/>
            <w:jc w:val="both"/>
            <w:rPr>
              <w:b/>
            </w:rPr>
          </w:pPr>
        </w:p>
        <w:p w:rsidR="00BA5C6C" w:rsidRPr="00565BB1" w:rsidRDefault="00BA5C6C" w:rsidP="00695C58">
          <w:pPr>
            <w:pStyle w:val="Prrafodelista"/>
            <w:tabs>
              <w:tab w:val="left" w:pos="3456"/>
            </w:tabs>
            <w:ind w:left="0"/>
            <w:jc w:val="both"/>
            <w:rPr>
              <w:b/>
            </w:rPr>
          </w:pPr>
        </w:p>
        <w:tbl>
          <w:tblPr>
            <w:tblStyle w:val="Sombreadoclaro-nfasis4"/>
            <w:tblpPr w:leftFromText="141" w:rightFromText="141" w:vertAnchor="text" w:horzAnchor="margin" w:tblpXSpec="center" w:tblpY="742"/>
            <w:tblW w:w="8323" w:type="dxa"/>
            <w:tblLook w:val="04A0" w:firstRow="1" w:lastRow="0" w:firstColumn="1" w:lastColumn="0" w:noHBand="0" w:noVBand="1"/>
          </w:tblPr>
          <w:tblGrid>
            <w:gridCol w:w="1483"/>
            <w:gridCol w:w="1843"/>
            <w:gridCol w:w="2016"/>
            <w:gridCol w:w="2088"/>
            <w:gridCol w:w="893"/>
          </w:tblGrid>
          <w:tr w:rsidR="007A4C82" w:rsidRPr="00707016" w:rsidTr="007A4C82">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83" w:type="dxa"/>
                <w:vMerge w:val="restart"/>
                <w:noWrap/>
                <w:hideMark/>
              </w:tcPr>
              <w:p w:rsidR="007A4C82" w:rsidRPr="00707016" w:rsidRDefault="007A4C82" w:rsidP="00B82A9E">
                <w:pPr>
                  <w:rPr>
                    <w:rFonts w:ascii="Calibri" w:eastAsia="Times New Roman" w:hAnsi="Calibri" w:cs="Times New Roman"/>
                    <w:color w:val="000000"/>
                    <w:lang w:eastAsia="es-ES"/>
                  </w:rPr>
                </w:pPr>
                <w:r w:rsidRPr="00707016">
                  <w:rPr>
                    <w:rFonts w:ascii="Calibri" w:eastAsia="Times New Roman" w:hAnsi="Calibri" w:cs="Times New Roman"/>
                    <w:color w:val="000000"/>
                    <w:lang w:eastAsia="es-ES"/>
                  </w:rPr>
                  <w:lastRenderedPageBreak/>
                  <w:t>CEDER MONEGROS</w:t>
                </w:r>
              </w:p>
            </w:tc>
            <w:tc>
              <w:tcPr>
                <w:tcW w:w="1843" w:type="dxa"/>
                <w:noWrap/>
                <w:hideMark/>
              </w:tcPr>
              <w:p w:rsidR="007A4C82" w:rsidRPr="00707016" w:rsidRDefault="007A4C82" w:rsidP="007A4C8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07016">
                  <w:rPr>
                    <w:rFonts w:ascii="Calibri" w:eastAsia="Times New Roman" w:hAnsi="Calibri" w:cs="Times New Roman"/>
                    <w:color w:val="000000"/>
                    <w:lang w:eastAsia="es-ES"/>
                  </w:rPr>
                  <w:t>Total percepciones salarios</w:t>
                </w:r>
              </w:p>
            </w:tc>
            <w:tc>
              <w:tcPr>
                <w:tcW w:w="2016" w:type="dxa"/>
                <w:noWrap/>
                <w:hideMark/>
              </w:tcPr>
              <w:p w:rsidR="007A4C82" w:rsidRPr="00707016" w:rsidRDefault="007A4C82" w:rsidP="007A4C8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07016">
                  <w:rPr>
                    <w:rFonts w:ascii="Calibri" w:eastAsia="Times New Roman" w:hAnsi="Calibri" w:cs="Times New Roman"/>
                    <w:color w:val="000000"/>
                    <w:lang w:eastAsia="es-ES"/>
                  </w:rPr>
                  <w:t>Total Percepciones pensiones</w:t>
                </w:r>
              </w:p>
            </w:tc>
            <w:tc>
              <w:tcPr>
                <w:tcW w:w="2088" w:type="dxa"/>
                <w:noWrap/>
                <w:hideMark/>
              </w:tcPr>
              <w:p w:rsidR="007A4C82" w:rsidRPr="00707016" w:rsidRDefault="007A4C82" w:rsidP="007A4C8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707016">
                  <w:rPr>
                    <w:rFonts w:ascii="Calibri" w:eastAsia="Times New Roman" w:hAnsi="Calibri" w:cs="Times New Roman"/>
                    <w:color w:val="000000"/>
                    <w:lang w:eastAsia="es-ES"/>
                  </w:rPr>
                  <w:t>Total Percepciones desempleo</w:t>
                </w:r>
              </w:p>
            </w:tc>
            <w:tc>
              <w:tcPr>
                <w:tcW w:w="893" w:type="dxa"/>
                <w:noWrap/>
                <w:hideMark/>
              </w:tcPr>
              <w:p w:rsidR="007A4C82" w:rsidRPr="00707016" w:rsidRDefault="007A4C82" w:rsidP="007A4C8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b w:val="0"/>
                    <w:bCs w:val="0"/>
                    <w:color w:val="000000"/>
                    <w:lang w:eastAsia="es-ES"/>
                  </w:rPr>
                  <w:t>Padró</w:t>
                </w:r>
                <w:r w:rsidRPr="00707016">
                  <w:rPr>
                    <w:rFonts w:ascii="Calibri" w:eastAsia="Times New Roman" w:hAnsi="Calibri" w:cs="Times New Roman"/>
                    <w:color w:val="000000"/>
                    <w:lang w:eastAsia="es-ES"/>
                  </w:rPr>
                  <w:t>n total</w:t>
                </w:r>
              </w:p>
            </w:tc>
          </w:tr>
          <w:tr w:rsidR="007A4C82" w:rsidRPr="00707016" w:rsidTr="007A4C8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483" w:type="dxa"/>
                <w:vMerge/>
                <w:noWrap/>
                <w:hideMark/>
              </w:tcPr>
              <w:p w:rsidR="007A4C82" w:rsidRPr="00707016" w:rsidRDefault="007A4C82" w:rsidP="00707016">
                <w:pPr>
                  <w:rPr>
                    <w:rFonts w:ascii="Calibri" w:eastAsia="Times New Roman" w:hAnsi="Calibri" w:cs="Times New Roman"/>
                    <w:color w:val="000000"/>
                    <w:lang w:eastAsia="es-ES"/>
                  </w:rPr>
                </w:pPr>
              </w:p>
            </w:tc>
            <w:tc>
              <w:tcPr>
                <w:tcW w:w="1843" w:type="dxa"/>
                <w:noWrap/>
                <w:hideMark/>
              </w:tcPr>
              <w:p w:rsidR="007A4C82" w:rsidRPr="00707016" w:rsidRDefault="007A4C82" w:rsidP="007A4C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07016">
                  <w:rPr>
                    <w:rFonts w:ascii="Calibri" w:eastAsia="Times New Roman" w:hAnsi="Calibri" w:cs="Times New Roman"/>
                    <w:b/>
                    <w:bCs/>
                    <w:color w:val="000000"/>
                    <w:lang w:eastAsia="es-ES"/>
                  </w:rPr>
                  <w:t>7705</w:t>
                </w:r>
              </w:p>
            </w:tc>
            <w:tc>
              <w:tcPr>
                <w:tcW w:w="2016" w:type="dxa"/>
                <w:noWrap/>
                <w:hideMark/>
              </w:tcPr>
              <w:p w:rsidR="007A4C82" w:rsidRPr="00707016" w:rsidRDefault="007A4C82" w:rsidP="007A4C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07016">
                  <w:rPr>
                    <w:rFonts w:ascii="Calibri" w:eastAsia="Times New Roman" w:hAnsi="Calibri" w:cs="Times New Roman"/>
                    <w:b/>
                    <w:bCs/>
                    <w:color w:val="000000"/>
                    <w:lang w:eastAsia="es-ES"/>
                  </w:rPr>
                  <w:t>6074</w:t>
                </w:r>
              </w:p>
            </w:tc>
            <w:tc>
              <w:tcPr>
                <w:tcW w:w="2088" w:type="dxa"/>
                <w:noWrap/>
                <w:hideMark/>
              </w:tcPr>
              <w:p w:rsidR="007A4C82" w:rsidRPr="00707016" w:rsidRDefault="007A4C82" w:rsidP="007A4C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07016">
                  <w:rPr>
                    <w:rFonts w:ascii="Calibri" w:eastAsia="Times New Roman" w:hAnsi="Calibri" w:cs="Times New Roman"/>
                    <w:b/>
                    <w:bCs/>
                    <w:color w:val="000000"/>
                    <w:lang w:eastAsia="es-ES"/>
                  </w:rPr>
                  <w:t>1394</w:t>
                </w:r>
              </w:p>
            </w:tc>
            <w:tc>
              <w:tcPr>
                <w:tcW w:w="893" w:type="dxa"/>
                <w:noWrap/>
                <w:hideMark/>
              </w:tcPr>
              <w:p w:rsidR="007A4C82" w:rsidRPr="00707016" w:rsidRDefault="007A4C82" w:rsidP="007A4C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707016">
                  <w:rPr>
                    <w:rFonts w:ascii="Calibri" w:eastAsia="Times New Roman" w:hAnsi="Calibri" w:cs="Times New Roman"/>
                    <w:b/>
                    <w:bCs/>
                    <w:color w:val="000000"/>
                    <w:lang w:eastAsia="es-ES"/>
                  </w:rPr>
                  <w:t>20172</w:t>
                </w:r>
              </w:p>
            </w:tc>
          </w:tr>
        </w:tbl>
        <w:p w:rsidR="00D16764" w:rsidRPr="00AF7330" w:rsidRDefault="00565BB1" w:rsidP="00DA6CCE">
          <w:pPr>
            <w:pStyle w:val="Prrafodelista"/>
            <w:numPr>
              <w:ilvl w:val="0"/>
              <w:numId w:val="1"/>
            </w:numPr>
            <w:tabs>
              <w:tab w:val="left" w:pos="3456"/>
            </w:tabs>
            <w:jc w:val="both"/>
            <w:rPr>
              <w:b/>
            </w:rPr>
          </w:pPr>
          <w:r w:rsidRPr="009257EF">
            <w:rPr>
              <w:b/>
            </w:rPr>
            <w:t xml:space="preserve"> </w:t>
          </w:r>
          <w:r w:rsidR="00746BD5" w:rsidRPr="009257EF">
            <w:rPr>
              <w:b/>
            </w:rPr>
            <w:t>Promedio de las fuentes tributarias que ex</w:t>
          </w:r>
          <w:r w:rsidR="000D190C">
            <w:rPr>
              <w:b/>
            </w:rPr>
            <w:t>isten de cada tipo en el grupo CEDER MONEGROS</w:t>
          </w:r>
          <w:r w:rsidR="00AF7330">
            <w:rPr>
              <w:b/>
            </w:rPr>
            <w:t xml:space="preserve"> </w:t>
          </w:r>
          <w:r w:rsidR="00AF7330" w:rsidRPr="00AF7330">
            <w:rPr>
              <w:b/>
            </w:rPr>
            <w:t>(2010).</w:t>
          </w:r>
        </w:p>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286C91" w:rsidRDefault="00286C91" w:rsidP="00DA6CCE">
          <w:pPr>
            <w:pStyle w:val="Prrafodelista"/>
            <w:tabs>
              <w:tab w:val="left" w:pos="3456"/>
            </w:tabs>
            <w:ind w:left="284"/>
            <w:jc w:val="both"/>
            <w:rPr>
              <w:b/>
            </w:rPr>
          </w:pPr>
        </w:p>
        <w:p w:rsidR="00B4331E" w:rsidRDefault="00B4331E"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 xml:space="preserve">Acción Local </w:t>
          </w:r>
          <w:r w:rsidR="00EB35BC">
            <w:t>CEDER MONEGROS</w:t>
          </w:r>
          <w:r w:rsidR="00F916A3">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286C91">
            <w:t xml:space="preserve"> </w:t>
          </w:r>
          <w:r w:rsidR="00891EB9">
            <w:t xml:space="preserve">comarca de Los </w:t>
          </w:r>
          <w:proofErr w:type="spellStart"/>
          <w:r w:rsidR="00891EB9">
            <w:t>Monegros</w:t>
          </w:r>
          <w:proofErr w:type="spellEnd"/>
          <w:r w:rsidR="00286C91">
            <w:t xml:space="preserve"> </w:t>
          </w:r>
          <w:r w:rsidR="009508AE">
            <w:t xml:space="preserve"> </w:t>
          </w:r>
          <w:r w:rsidR="00924E6A">
            <w:t>y engloba un total de</w:t>
          </w:r>
          <w:r w:rsidR="00286C91">
            <w:t xml:space="preserve"> </w:t>
          </w:r>
          <w:r w:rsidR="00891EB9">
            <w:t>31</w:t>
          </w:r>
          <w:r w:rsidR="00286C91">
            <w:t xml:space="preserve"> </w:t>
          </w:r>
          <w:r w:rsidR="00924E6A">
            <w:t>municipios.</w:t>
          </w:r>
        </w:p>
        <w:p w:rsidR="00D139A2" w:rsidRPr="003D4E91" w:rsidRDefault="00D139A2" w:rsidP="00DA6CCE">
          <w:pPr>
            <w:pStyle w:val="Prrafodelista"/>
            <w:tabs>
              <w:tab w:val="left" w:pos="3456"/>
            </w:tabs>
            <w:ind w:left="284"/>
            <w:jc w:val="both"/>
          </w:pPr>
        </w:p>
        <w:p w:rsidR="003D4E91" w:rsidRPr="00625167" w:rsidRDefault="007850A6" w:rsidP="00452FBF">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486.4pt">
                <v:imagedata r:id="rId36" o:title="LOCALIZACIÓN"/>
              </v:shape>
            </w:pict>
          </w:r>
        </w:p>
        <w:p w:rsidR="00B96BF7" w:rsidRDefault="00B96BF7" w:rsidP="00286C91">
          <w:pPr>
            <w:jc w:val="both"/>
          </w:pPr>
        </w:p>
        <w:p w:rsidR="008D4C33" w:rsidRDefault="00924E6A" w:rsidP="008D4C33">
          <w:pPr>
            <w:ind w:firstLine="708"/>
            <w:jc w:val="both"/>
          </w:pPr>
          <w:r>
            <w:lastRenderedPageBreak/>
            <w:t>El grupo de acción local</w:t>
          </w:r>
          <w:r w:rsidR="00737319">
            <w:t xml:space="preserve"> </w:t>
          </w:r>
          <w:r w:rsidR="003279F5">
            <w:t xml:space="preserve">CEDER MONEGROS presenta un tipo de relieve dispuesto en torno a la Sierra de </w:t>
          </w:r>
          <w:proofErr w:type="spellStart"/>
          <w:r w:rsidR="003279F5">
            <w:t>Alcubierre</w:t>
          </w:r>
          <w:proofErr w:type="spellEnd"/>
          <w:r w:rsidR="003279F5">
            <w:t xml:space="preserve"> coronada por plataformas estructurales o planas, y rodeada por cerros testigo o antecerros. Sin embargo, no presenta elevadas altitudes ni relieves destacados.</w:t>
          </w:r>
        </w:p>
        <w:p w:rsidR="0073084C" w:rsidRDefault="007850A6" w:rsidP="008D4C33">
          <w:pPr>
            <w:ind w:firstLine="708"/>
            <w:jc w:val="both"/>
          </w:pPr>
          <w:r>
            <w:pict>
              <v:shape id="_x0000_i1026" type="#_x0000_t75" style="width:390.4pt;height:552.8pt">
                <v:imagedata r:id="rId37" o:title="medio_fisico"/>
              </v:shape>
            </w:pict>
          </w:r>
        </w:p>
        <w:p w:rsidR="003D4E91" w:rsidRDefault="003D4E91" w:rsidP="00452FBF">
          <w:pPr>
            <w:jc w:val="center"/>
            <w:rPr>
              <w:b/>
            </w:rPr>
          </w:pPr>
        </w:p>
        <w:p w:rsidR="009508AE" w:rsidRDefault="009508AE" w:rsidP="00DA6CCE">
          <w:pPr>
            <w:jc w:val="both"/>
            <w:rPr>
              <w:b/>
            </w:rPr>
          </w:pPr>
        </w:p>
        <w:p w:rsidR="00943066" w:rsidRDefault="00943066" w:rsidP="00DA6CCE">
          <w:pPr>
            <w:jc w:val="both"/>
            <w:rPr>
              <w:b/>
            </w:rPr>
          </w:pPr>
        </w:p>
        <w:p w:rsidR="00592215" w:rsidRDefault="003D4E91" w:rsidP="00891EB9">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891EB9">
            <w:t xml:space="preserve">CEDER MONEGROS </w:t>
          </w:r>
          <w:r w:rsidR="000A6D47">
            <w:t xml:space="preserve"> </w:t>
          </w:r>
          <w:r w:rsidR="00BE5550">
            <w:t>vemos como la mayoría de municipios presentan tasas de masculinida</w:t>
          </w:r>
          <w:r w:rsidR="00E81C69">
            <w:t xml:space="preserve">d superiores a las de feminidad. </w:t>
          </w:r>
          <w:r w:rsidR="00891EB9">
            <w:t xml:space="preserve">A excepción de </w:t>
          </w:r>
          <w:proofErr w:type="spellStart"/>
          <w:r w:rsidR="00891EB9">
            <w:t>Capdesaso</w:t>
          </w:r>
          <w:proofErr w:type="spellEnd"/>
          <w:r w:rsidR="00891EB9">
            <w:t xml:space="preserve">, </w:t>
          </w:r>
          <w:proofErr w:type="spellStart"/>
          <w:r w:rsidR="00891EB9">
            <w:t>Farlete</w:t>
          </w:r>
          <w:proofErr w:type="spellEnd"/>
          <w:r w:rsidR="00891EB9">
            <w:t xml:space="preserve">, </w:t>
          </w:r>
          <w:proofErr w:type="spellStart"/>
          <w:r w:rsidR="00891EB9">
            <w:t>Senés</w:t>
          </w:r>
          <w:proofErr w:type="spellEnd"/>
          <w:r w:rsidR="00891EB9">
            <w:t xml:space="preserve"> de </w:t>
          </w:r>
          <w:proofErr w:type="spellStart"/>
          <w:r w:rsidR="00891EB9">
            <w:t>Alcubierre</w:t>
          </w:r>
          <w:proofErr w:type="spellEnd"/>
          <w:r w:rsidR="00891EB9">
            <w:t xml:space="preserve"> y Villanueva de </w:t>
          </w:r>
          <w:proofErr w:type="spellStart"/>
          <w:r w:rsidR="00891EB9">
            <w:t>Sigena</w:t>
          </w:r>
          <w:proofErr w:type="spellEnd"/>
          <w:r w:rsidR="00891EB9">
            <w:t>.</w:t>
          </w:r>
        </w:p>
        <w:p w:rsidR="0073084C" w:rsidRDefault="00592215" w:rsidP="00DA6CCE">
          <w:pPr>
            <w:jc w:val="both"/>
            <w:rPr>
              <w:b/>
            </w:rPr>
          </w:pPr>
          <w:r>
            <w:rPr>
              <w:b/>
            </w:rPr>
            <w:tab/>
          </w:r>
          <w:r w:rsidR="007850A6">
            <w:rPr>
              <w:b/>
            </w:rPr>
            <w:pict>
              <v:shape id="_x0000_i1027" type="#_x0000_t75" style="width:388pt;height:568.8pt">
                <v:imagedata r:id="rId38" o:title="densi_tasamasc_fem"/>
              </v:shape>
            </w:pict>
          </w:r>
        </w:p>
        <w:p w:rsidR="009A7493" w:rsidRDefault="009A7493" w:rsidP="00DA6CCE">
          <w:pPr>
            <w:jc w:val="both"/>
            <w:rPr>
              <w:b/>
            </w:rPr>
          </w:pPr>
        </w:p>
        <w:p w:rsidR="00592215" w:rsidRPr="00592215" w:rsidRDefault="00592215" w:rsidP="0073084C">
          <w:pPr>
            <w:ind w:firstLine="708"/>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7850A6" w:rsidP="00452FBF">
          <w:pPr>
            <w:jc w:val="center"/>
            <w:rPr>
              <w:b/>
            </w:rPr>
          </w:pPr>
          <w:r>
            <w:rPr>
              <w:b/>
              <w:noProof/>
              <w:lang w:eastAsia="es-ES"/>
            </w:rPr>
            <w:pict>
              <v:shape id="_x0000_i1028" type="#_x0000_t75" style="width:403.2pt;height:545.6pt">
                <v:imagedata r:id="rId39" o:title="envejaragon_cedermonegros"/>
              </v:shape>
            </w:pict>
          </w:r>
        </w:p>
        <w:p w:rsidR="00B4331E" w:rsidRDefault="00592215" w:rsidP="00DA6CCE">
          <w:pPr>
            <w:jc w:val="both"/>
          </w:pPr>
          <w:r>
            <w:rPr>
              <w:b/>
            </w:rPr>
            <w:tab/>
          </w:r>
          <w:r w:rsidR="00F916A3">
            <w:t xml:space="preserve">  </w:t>
          </w:r>
          <w:r w:rsidR="009A7493">
            <w:t xml:space="preserve">En gris encontramos representados aquellos municipios de los que no disponemos datos, </w:t>
          </w:r>
          <w:r w:rsidR="00F916A3">
            <w:t>e</w:t>
          </w:r>
          <w:r w:rsidR="00AB3ED5">
            <w:t>n amarillo</w:t>
          </w:r>
          <w:r w:rsidR="00085C12">
            <w:t xml:space="preserve"> </w:t>
          </w:r>
          <w:r>
            <w:t xml:space="preserve"> </w:t>
          </w:r>
          <w:r w:rsidR="009A7493">
            <w:t xml:space="preserve">deberían mostrarse aquellos municipios con valores semejantes </w:t>
          </w:r>
          <w:r>
            <w:t>a la media de Aragón</w:t>
          </w:r>
          <w:r w:rsidR="00085C12">
            <w:t xml:space="preserve"> pudiendo ver </w:t>
          </w:r>
          <w:r w:rsidR="009A7493">
            <w:t>no existe ninguno que cumpla este requisito</w:t>
          </w:r>
          <w:r w:rsidR="0073084C">
            <w:t>.</w:t>
          </w:r>
          <w:r w:rsidR="00D1226C">
            <w:t xml:space="preserve"> </w:t>
          </w:r>
          <w:r w:rsidR="0073084C">
            <w:t>Y</w:t>
          </w:r>
          <w:r>
            <w:t xml:space="preserve">, en el último </w:t>
          </w:r>
          <w:r w:rsidR="00F916A3">
            <w:t>lugar</w:t>
          </w:r>
          <w:r>
            <w:t xml:space="preserve">, los valores que se representan en diferentes tonalidades de rojo son aquellos </w:t>
          </w:r>
          <w:r w:rsidR="00AB3ED5">
            <w:t xml:space="preserve">que se encuentran </w:t>
          </w:r>
          <w:r w:rsidR="00AB3ED5">
            <w:lastRenderedPageBreak/>
            <w:t xml:space="preserve">por encima de la media. Con estas tonalidades hemos querido resaltar aquellos municipios que dentro de tasas altas de envejecimiento tienen valores </w:t>
          </w:r>
          <w:r w:rsidR="005C032F">
            <w:t>más</w:t>
          </w:r>
          <w:r w:rsidR="00AB3ED5">
            <w:t xml:space="preserve"> alarmantes y cuales todavía no tanto</w:t>
          </w:r>
          <w:r w:rsidR="000B686B">
            <w:t xml:space="preserve">. </w:t>
          </w:r>
          <w:proofErr w:type="spellStart"/>
          <w:r w:rsidR="00D050E3">
            <w:t>Sangarrén</w:t>
          </w:r>
          <w:proofErr w:type="spellEnd"/>
          <w:r w:rsidR="00D050E3">
            <w:t xml:space="preserve"> (754,5%), </w:t>
          </w:r>
          <w:proofErr w:type="spellStart"/>
          <w:r w:rsidR="00D050E3">
            <w:t>Barbués</w:t>
          </w:r>
          <w:proofErr w:type="spellEnd"/>
          <w:r w:rsidR="00D050E3">
            <w:t xml:space="preserve"> (750%), </w:t>
          </w:r>
          <w:proofErr w:type="spellStart"/>
          <w:r w:rsidR="00D050E3">
            <w:t>Albalatillo</w:t>
          </w:r>
          <w:proofErr w:type="spellEnd"/>
          <w:r w:rsidR="00D050E3">
            <w:t xml:space="preserve"> (511,8%), </w:t>
          </w:r>
          <w:proofErr w:type="spellStart"/>
          <w:r w:rsidR="00D050E3">
            <w:t>Valfarta</w:t>
          </w:r>
          <w:proofErr w:type="spellEnd"/>
          <w:r w:rsidR="00D050E3">
            <w:t xml:space="preserve"> (485,7%) y </w:t>
          </w:r>
          <w:proofErr w:type="spellStart"/>
          <w:r w:rsidR="00D050E3">
            <w:t>Capdesaso</w:t>
          </w:r>
          <w:proofErr w:type="spellEnd"/>
          <w:r w:rsidR="00D050E3">
            <w:t xml:space="preserve"> (477,8%) </w:t>
          </w:r>
          <w:r w:rsidR="00F916A3">
            <w:t>son los</w:t>
          </w:r>
          <w:r w:rsidR="00B4331E">
            <w:t xml:space="preserve"> municipio</w:t>
          </w:r>
          <w:r w:rsidR="00F916A3">
            <w:t>s</w:t>
          </w:r>
          <w:r w:rsidR="00B4331E">
            <w:t xml:space="preserve"> que mayor envejecimiento del grupo presenta</w:t>
          </w:r>
          <w:r w:rsidR="00F916A3">
            <w:t>n</w:t>
          </w:r>
          <w:r w:rsidR="00B4331E">
            <w:t xml:space="preserve"> situándose </w:t>
          </w:r>
          <w:r w:rsidR="000725D3">
            <w:t xml:space="preserve">en una </w:t>
          </w:r>
          <w:r w:rsidR="00B4331E">
            <w:t xml:space="preserve">posición </w:t>
          </w:r>
          <w:r w:rsidR="000725D3">
            <w:t xml:space="preserve"> alarmante en cuanto a la media de envejecimien</w:t>
          </w:r>
          <w:r w:rsidR="0012353F">
            <w:t>to de Aragón.</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7850A6" w:rsidP="00452FBF">
          <w:pPr>
            <w:jc w:val="center"/>
          </w:pPr>
          <w:r>
            <w:pict>
              <v:shape id="_x0000_i1029" type="#_x0000_t75" style="width:371.2pt;height:524.8pt">
                <v:imagedata r:id="rId40" o:title="envejecimiento_paro"/>
              </v:shape>
            </w:pict>
          </w:r>
        </w:p>
        <w:p w:rsidR="00731030" w:rsidRDefault="005C032F" w:rsidP="00DA6CCE">
          <w:pPr>
            <w:jc w:val="both"/>
          </w:pPr>
          <w:r>
            <w:tab/>
            <w:t xml:space="preserve">En este primer mapa lo que encontramos es como a primera vista vemos que los lugares donde las tasas de envejecimiento son superiores muestran unas tasas de paro más </w:t>
          </w:r>
          <w:r>
            <w:lastRenderedPageBreak/>
            <w:t>bajas, lo cual es lógico ya que, el rasgo del envejecimiento implica población con edades altas, de los 65 en adelante, donde prácticamente el total poblacional ya está jubilado y evidentemente el paro apenas existe</w:t>
          </w:r>
          <w:r w:rsidR="00AB3ED5">
            <w:t>.</w:t>
          </w:r>
          <w:r w:rsidR="00D1226C">
            <w:t xml:space="preserve"> </w:t>
          </w:r>
        </w:p>
        <w:p w:rsidR="005C032F" w:rsidRDefault="005C032F" w:rsidP="00DA6CCE">
          <w:pPr>
            <w:jc w:val="both"/>
          </w:pPr>
          <w:r>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7850A6" w:rsidP="00452FBF">
          <w:pPr>
            <w:jc w:val="center"/>
          </w:pPr>
          <w:r>
            <w:pict>
              <v:shape id="_x0000_i1030" type="#_x0000_t75" style="width:363.2pt;height:514.4pt">
                <v:imagedata r:id="rId41" o:title="envej_masculinidad"/>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lastRenderedPageBreak/>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7850A6" w:rsidP="00CE6A13">
          <w:pPr>
            <w:ind w:firstLine="426"/>
            <w:jc w:val="center"/>
          </w:pPr>
          <w:bookmarkStart w:id="0" w:name="_GoBack"/>
          <w:r>
            <w:rPr>
              <w:noProof/>
              <w:lang w:eastAsia="es-ES"/>
            </w:rPr>
            <w:pict>
              <v:shape id="_x0000_i1031" type="#_x0000_t75" style="width:317.6pt;height:447.2pt">
                <v:imagedata r:id="rId42" o:title="densi_actveconom"/>
              </v:shape>
            </w:pict>
          </w:r>
          <w:bookmarkEnd w:id="0"/>
        </w:p>
        <w:p w:rsidR="00DA6CCE" w:rsidRDefault="00DA6CCE" w:rsidP="0089418C">
          <w:pPr>
            <w:ind w:firstLine="708"/>
            <w:jc w:val="both"/>
          </w:pPr>
          <w:r>
            <w:t xml:space="preserve">En este primer mapa vemos una clara diferenciación en función de las diferentes actividades económicas desarrolladas en los municipios que se engloban en el grupo </w:t>
          </w:r>
          <w:r w:rsidR="00EB1834">
            <w:t>CEDE</w:t>
          </w:r>
          <w:r w:rsidR="00A57180">
            <w:t>R MONEGROS</w:t>
          </w:r>
          <w:r w:rsidR="00EB1834">
            <w:t xml:space="preserve">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7850A6" w:rsidP="00DA6CCE">
          <w:pPr>
            <w:ind w:firstLine="284"/>
            <w:jc w:val="center"/>
          </w:pPr>
          <w:r>
            <w:lastRenderedPageBreak/>
            <w:pict>
              <v:shape id="_x0000_i1032" type="#_x0000_t75" style="width:396.8pt;height:559.2pt">
                <v:imagedata r:id="rId43" o:title="tasaparo_densi"/>
              </v:shape>
            </w:pict>
          </w:r>
        </w:p>
        <w:p w:rsidR="00277627" w:rsidRPr="00592215" w:rsidRDefault="00B07BC3" w:rsidP="00BC2390">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EB7E4E">
            <w:t xml:space="preserve"> </w:t>
          </w:r>
          <w:proofErr w:type="spellStart"/>
          <w:r w:rsidR="00525FE6">
            <w:t>Sariñena</w:t>
          </w:r>
          <w:proofErr w:type="spellEnd"/>
          <w:r w:rsidR="00525FE6">
            <w:t xml:space="preserve"> (33,41%), </w:t>
          </w:r>
          <w:proofErr w:type="spellStart"/>
          <w:r w:rsidR="00525FE6">
            <w:t>Grañén</w:t>
          </w:r>
          <w:proofErr w:type="spellEnd"/>
          <w:r w:rsidR="00525FE6">
            <w:t xml:space="preserve"> (11,98%), </w:t>
          </w:r>
          <w:proofErr w:type="spellStart"/>
          <w:r w:rsidR="00525FE6">
            <w:t>Lanaja</w:t>
          </w:r>
          <w:proofErr w:type="spellEnd"/>
          <w:r w:rsidR="00525FE6">
            <w:t xml:space="preserve"> (6,17%) y </w:t>
          </w:r>
          <w:proofErr w:type="spellStart"/>
          <w:r w:rsidR="00525FE6">
            <w:t>Tardienta</w:t>
          </w:r>
          <w:proofErr w:type="spellEnd"/>
          <w:r w:rsidR="00525FE6">
            <w:t xml:space="preserve"> (5,44%) </w:t>
          </w:r>
          <w:r w:rsidR="00B55AEC">
            <w:t>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w:t>
          </w:r>
          <w:r w:rsidR="00D0138C">
            <w:t xml:space="preserve"> </w:t>
          </w:r>
          <w:r w:rsidR="00525FE6">
            <w:t>CEDE</w:t>
          </w:r>
          <w:r w:rsidR="00EB1834">
            <w:t>R</w:t>
          </w:r>
          <w:r w:rsidR="00525FE6">
            <w:t xml:space="preserve"> MONEGROS</w:t>
          </w:r>
          <w:r w:rsidR="00093C75">
            <w:t>.</w:t>
          </w:r>
        </w:p>
        <w:p w:rsidR="005047FE" w:rsidRDefault="00DA6CCE" w:rsidP="00DA6CCE">
          <w:pPr>
            <w:ind w:firstLine="284"/>
            <w:jc w:val="both"/>
          </w:pPr>
          <w:r>
            <w:lastRenderedPageBreak/>
            <w:t xml:space="preserve">Pero, más allá de lo que sería conocer la tasa de paro total sobre la densidad de población en el grupo </w:t>
          </w:r>
          <w:r w:rsidR="00333763">
            <w:t>CEDE</w:t>
          </w:r>
          <w:r w:rsidR="0012076A">
            <w:t>R MONEGROS</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7850A6" w:rsidP="00452FBF">
      <w:pPr>
        <w:jc w:val="center"/>
      </w:pPr>
      <w:r>
        <w:pict>
          <v:shape id="_x0000_i1033" type="#_x0000_t75" style="width:383.2pt;height:541.6pt">
            <v:imagedata r:id="rId44" o:title="densi_parohommuj"/>
          </v:shape>
        </w:pict>
      </w:r>
    </w:p>
    <w:p w:rsidR="00333763" w:rsidRDefault="00452FBF" w:rsidP="00452FBF">
      <w:pPr>
        <w:jc w:val="both"/>
      </w:pPr>
      <w:r>
        <w:tab/>
        <w:t xml:space="preserve">En este caso vemos como al establecer la diferenciación en el paro de hombres y mujeres encontramos </w:t>
      </w:r>
      <w:r w:rsidR="00F06F79">
        <w:t>que tanto existen municipios donde el paro en hombres es superior al de mujeres y viceversa además de municipios donde solo existe paro en hombre o solo en mujeres.</w:t>
      </w:r>
    </w:p>
    <w:p w:rsidR="00A954F5" w:rsidRDefault="00A954F5" w:rsidP="00A954F5">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proofErr w:type="spellStart"/>
      <w:r w:rsidR="00D8012D">
        <w:t>Sariñena</w:t>
      </w:r>
      <w:proofErr w:type="spellEnd"/>
      <w:r w:rsidR="00D8012D">
        <w:t xml:space="preserve"> (16,46%), </w:t>
      </w:r>
      <w:proofErr w:type="spellStart"/>
      <w:r w:rsidR="00D8012D">
        <w:t>Grañén</w:t>
      </w:r>
      <w:proofErr w:type="spellEnd"/>
      <w:r w:rsidR="00D8012D">
        <w:t xml:space="preserve"> (4,47%) y </w:t>
      </w:r>
      <w:proofErr w:type="spellStart"/>
      <w:r w:rsidR="00D8012D">
        <w:t>Tardienta</w:t>
      </w:r>
      <w:proofErr w:type="spellEnd"/>
      <w:r w:rsidR="00D8012D">
        <w:t xml:space="preserve"> (3,02%).</w:t>
      </w:r>
    </w:p>
    <w:p w:rsidR="00B522B6" w:rsidRDefault="007850A6" w:rsidP="006C1ADA">
      <w:pPr>
        <w:jc w:val="center"/>
      </w:pPr>
      <w:r>
        <w:pict>
          <v:shape id="_x0000_i1034" type="#_x0000_t75" style="width:424.8pt;height:600.8pt">
            <v:imagedata r:id="rId45" o:title="paro_mujere_feminidad"/>
          </v:shape>
        </w:pict>
      </w:r>
    </w:p>
    <w:p w:rsidR="00BF1814" w:rsidRDefault="00BF1814" w:rsidP="006C1ADA">
      <w:pPr>
        <w:jc w:val="center"/>
      </w:pPr>
    </w:p>
    <w:p w:rsidR="00BF1814" w:rsidRDefault="00BF1814" w:rsidP="006C1ADA">
      <w:pPr>
        <w:jc w:val="center"/>
      </w:pP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 xml:space="preserve">las mayores tasas de paro se concentran en las áreas donde existe una densidad de población media-alta o alta. Aquellos municipios que presentan las mayores cifras de paro en hombres son: </w:t>
      </w:r>
      <w:proofErr w:type="spellStart"/>
      <w:r w:rsidR="00D90B39">
        <w:t>Sariñena</w:t>
      </w:r>
      <w:proofErr w:type="spellEnd"/>
      <w:r w:rsidR="00D90B39">
        <w:t xml:space="preserve"> (16,94%) y </w:t>
      </w:r>
      <w:proofErr w:type="spellStart"/>
      <w:r w:rsidR="00D90B39">
        <w:t>Grañén</w:t>
      </w:r>
      <w:proofErr w:type="spellEnd"/>
      <w:r w:rsidR="00D90B39">
        <w:t xml:space="preserve"> (7,5%).</w:t>
      </w:r>
    </w:p>
    <w:p w:rsidR="0010130B" w:rsidRDefault="007850A6" w:rsidP="00EE410C">
      <w:pPr>
        <w:jc w:val="center"/>
      </w:pPr>
      <w:r>
        <w:pict>
          <v:shape id="_x0000_i1035" type="#_x0000_t75" style="width:424.8pt;height:600.8pt">
            <v:imagedata r:id="rId46" o:title="mascu_parohom"/>
          </v:shape>
        </w:pict>
      </w:r>
    </w:p>
    <w:p w:rsidR="00EE410C" w:rsidRDefault="00EE410C" w:rsidP="006A02CE"/>
    <w:p w:rsidR="006E4407" w:rsidRDefault="0010130B" w:rsidP="00A744E6">
      <w:pPr>
        <w:ind w:firstLine="993"/>
        <w:jc w:val="both"/>
      </w:pPr>
      <w:r>
        <w:lastRenderedPageBreak/>
        <w:t xml:space="preserve">Otra última relación que nos resultó interesante a la hora de realizar el análisis sobre </w:t>
      </w:r>
      <w:r w:rsidR="001F60B6">
        <w:t xml:space="preserve">la tasa de paro en el grupo </w:t>
      </w:r>
      <w:r w:rsidR="00202BBE">
        <w:t>CEDER MONEGROS</w:t>
      </w:r>
      <w:r w:rsidR="00A36B27">
        <w:t xml:space="preserve"> </w:t>
      </w:r>
      <w:r w:rsidR="00A51B0F">
        <w:t xml:space="preserve"> </w:t>
      </w:r>
      <w:r>
        <w:t>fue la del paro total y la tasa de masculinidad</w:t>
      </w:r>
      <w:r w:rsidRPr="0010130B">
        <w:t xml:space="preserve"> </w:t>
      </w:r>
      <w:r w:rsidR="00A744E6">
        <w:t xml:space="preserve">de cada </w:t>
      </w:r>
      <w:r>
        <w:t xml:space="preserve">municipio. </w:t>
      </w:r>
    </w:p>
    <w:p w:rsidR="0010130B" w:rsidRDefault="007850A6" w:rsidP="00920468">
      <w:pPr>
        <w:ind w:firstLine="567"/>
        <w:jc w:val="both"/>
      </w:pPr>
      <w:r>
        <w:pict>
          <v:shape id="_x0000_i1036" type="#_x0000_t75" style="width:424.8pt;height:600.8pt">
            <v:imagedata r:id="rId47" o:title="tasamasc_tasaparo"/>
          </v:shape>
        </w:pict>
      </w:r>
    </w:p>
    <w:p w:rsidR="00A51B0F" w:rsidRDefault="0010130B" w:rsidP="00600947">
      <w:pPr>
        <w:ind w:firstLine="708"/>
        <w:jc w:val="both"/>
      </w:pPr>
      <w:r>
        <w:t xml:space="preserve">Al relacionar estas variables observamos como las áreas con una tasa de masculinidad </w:t>
      </w:r>
      <w:r w:rsidR="005014DE">
        <w:t>media</w:t>
      </w:r>
      <w:r w:rsidR="00A36B27">
        <w:t xml:space="preserve"> o media-alta</w:t>
      </w:r>
      <w:r w:rsidR="00A51B0F">
        <w:t xml:space="preserve">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7850A6" w:rsidP="006A02CE">
      <w:pPr>
        <w:jc w:val="center"/>
      </w:pPr>
      <w:r>
        <w:pict>
          <v:shape id="_x0000_i1037" type="#_x0000_t75" style="width:424.8pt;height:600.8pt">
            <v:imagedata r:id="rId48" o:title="altassegsohommuj_densi"/>
          </v:shape>
        </w:pict>
      </w:r>
    </w:p>
    <w:p w:rsidR="007C3A15" w:rsidRDefault="004E34E8" w:rsidP="001F60B6">
      <w:pPr>
        <w:ind w:firstLine="424"/>
        <w:jc w:val="both"/>
      </w:pPr>
      <w:r>
        <w:t xml:space="preserve">Analizando el mapa vemos como </w:t>
      </w:r>
      <w:r w:rsidR="00B83F8E">
        <w:t xml:space="preserve">casi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A36B27">
        <w:t>.</w:t>
      </w:r>
      <w:r w:rsidR="006A02CE">
        <w:t xml:space="preserve"> </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E5F" w:rsidRDefault="00DF5E5F" w:rsidP="005047FE">
      <w:pPr>
        <w:spacing w:after="0" w:line="240" w:lineRule="auto"/>
      </w:pPr>
      <w:r>
        <w:separator/>
      </w:r>
    </w:p>
  </w:endnote>
  <w:endnote w:type="continuationSeparator" w:id="0">
    <w:p w:rsidR="00DF5E5F" w:rsidRDefault="00DF5E5F"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7850A6" w:rsidRPr="007850A6">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18</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7850A6" w:rsidRPr="007850A6">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18</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E5F" w:rsidRDefault="00DF5E5F" w:rsidP="005047FE">
      <w:pPr>
        <w:spacing w:after="0" w:line="240" w:lineRule="auto"/>
      </w:pPr>
      <w:r>
        <w:separator/>
      </w:r>
    </w:p>
  </w:footnote>
  <w:footnote w:type="continuationSeparator" w:id="0">
    <w:p w:rsidR="00DF5E5F" w:rsidRDefault="00DF5E5F"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CA01D6" w:rsidP="00CD1578">
              <w:pPr>
                <w:pStyle w:val="Encabezado"/>
                <w:jc w:val="center"/>
                <w:rPr>
                  <w:caps/>
                  <w:color w:val="FFFFFF" w:themeColor="background1"/>
                </w:rPr>
              </w:pPr>
              <w:r>
                <w:rPr>
                  <w:caps/>
                  <w:color w:val="FFFFFF" w:themeColor="background1"/>
                </w:rPr>
                <w:t>Caracterización territorial de Los Monegros. Monegros-Centro de Desarrollo (Ceder Monegros)</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1487D"/>
    <w:rsid w:val="000218A7"/>
    <w:rsid w:val="000507AF"/>
    <w:rsid w:val="00055193"/>
    <w:rsid w:val="00055955"/>
    <w:rsid w:val="00064503"/>
    <w:rsid w:val="00070D7B"/>
    <w:rsid w:val="000725D3"/>
    <w:rsid w:val="00077359"/>
    <w:rsid w:val="00085C12"/>
    <w:rsid w:val="00093C75"/>
    <w:rsid w:val="00094A89"/>
    <w:rsid w:val="000A6D47"/>
    <w:rsid w:val="000B128B"/>
    <w:rsid w:val="000B4043"/>
    <w:rsid w:val="000B686B"/>
    <w:rsid w:val="000D190C"/>
    <w:rsid w:val="000E2003"/>
    <w:rsid w:val="000E24E8"/>
    <w:rsid w:val="0010130B"/>
    <w:rsid w:val="00106908"/>
    <w:rsid w:val="0011532C"/>
    <w:rsid w:val="0012076A"/>
    <w:rsid w:val="00122850"/>
    <w:rsid w:val="0012353F"/>
    <w:rsid w:val="00140105"/>
    <w:rsid w:val="00162BD4"/>
    <w:rsid w:val="00172F65"/>
    <w:rsid w:val="00173249"/>
    <w:rsid w:val="00183475"/>
    <w:rsid w:val="00187242"/>
    <w:rsid w:val="00190C45"/>
    <w:rsid w:val="00191788"/>
    <w:rsid w:val="00195345"/>
    <w:rsid w:val="001B65A0"/>
    <w:rsid w:val="001D768D"/>
    <w:rsid w:val="001F60B6"/>
    <w:rsid w:val="00202BBE"/>
    <w:rsid w:val="0020383E"/>
    <w:rsid w:val="0022169C"/>
    <w:rsid w:val="00226733"/>
    <w:rsid w:val="00247F9F"/>
    <w:rsid w:val="0026445A"/>
    <w:rsid w:val="00264FE6"/>
    <w:rsid w:val="002655BE"/>
    <w:rsid w:val="00273C95"/>
    <w:rsid w:val="002748A7"/>
    <w:rsid w:val="0027612C"/>
    <w:rsid w:val="00277627"/>
    <w:rsid w:val="00286287"/>
    <w:rsid w:val="00286C91"/>
    <w:rsid w:val="00287406"/>
    <w:rsid w:val="002A1ADA"/>
    <w:rsid w:val="002C3354"/>
    <w:rsid w:val="002D6CE0"/>
    <w:rsid w:val="002E0141"/>
    <w:rsid w:val="002E3D44"/>
    <w:rsid w:val="003022EF"/>
    <w:rsid w:val="00306056"/>
    <w:rsid w:val="003279F5"/>
    <w:rsid w:val="00333763"/>
    <w:rsid w:val="003431C8"/>
    <w:rsid w:val="00347641"/>
    <w:rsid w:val="003729DC"/>
    <w:rsid w:val="00377BFD"/>
    <w:rsid w:val="00384351"/>
    <w:rsid w:val="003A36B8"/>
    <w:rsid w:val="003B3FA0"/>
    <w:rsid w:val="003D4E91"/>
    <w:rsid w:val="003E0431"/>
    <w:rsid w:val="003F3E4A"/>
    <w:rsid w:val="004015F0"/>
    <w:rsid w:val="004105C6"/>
    <w:rsid w:val="00416E44"/>
    <w:rsid w:val="00424122"/>
    <w:rsid w:val="00425194"/>
    <w:rsid w:val="00433104"/>
    <w:rsid w:val="00452FBF"/>
    <w:rsid w:val="00460D1F"/>
    <w:rsid w:val="004722D5"/>
    <w:rsid w:val="00482A0A"/>
    <w:rsid w:val="0048770D"/>
    <w:rsid w:val="004B1F14"/>
    <w:rsid w:val="004E34E8"/>
    <w:rsid w:val="005014DE"/>
    <w:rsid w:val="00502CCF"/>
    <w:rsid w:val="005047FE"/>
    <w:rsid w:val="00525FE6"/>
    <w:rsid w:val="005270C3"/>
    <w:rsid w:val="00531402"/>
    <w:rsid w:val="00533C22"/>
    <w:rsid w:val="00541517"/>
    <w:rsid w:val="00565BB1"/>
    <w:rsid w:val="00591C12"/>
    <w:rsid w:val="00591CE7"/>
    <w:rsid w:val="00592215"/>
    <w:rsid w:val="005A1F78"/>
    <w:rsid w:val="005A5F81"/>
    <w:rsid w:val="005B7974"/>
    <w:rsid w:val="005C032F"/>
    <w:rsid w:val="005C7A73"/>
    <w:rsid w:val="005D76AA"/>
    <w:rsid w:val="005E1E26"/>
    <w:rsid w:val="005F081D"/>
    <w:rsid w:val="005F110C"/>
    <w:rsid w:val="005F2FC9"/>
    <w:rsid w:val="00600947"/>
    <w:rsid w:val="006032D4"/>
    <w:rsid w:val="00625167"/>
    <w:rsid w:val="006256A1"/>
    <w:rsid w:val="0063204A"/>
    <w:rsid w:val="00641D40"/>
    <w:rsid w:val="0064433B"/>
    <w:rsid w:val="00660D14"/>
    <w:rsid w:val="006622A5"/>
    <w:rsid w:val="00677B14"/>
    <w:rsid w:val="006958DB"/>
    <w:rsid w:val="00695C58"/>
    <w:rsid w:val="0069616A"/>
    <w:rsid w:val="0069681C"/>
    <w:rsid w:val="006A02CE"/>
    <w:rsid w:val="006A183E"/>
    <w:rsid w:val="006C1ADA"/>
    <w:rsid w:val="006D7F6B"/>
    <w:rsid w:val="006E4407"/>
    <w:rsid w:val="006F1599"/>
    <w:rsid w:val="006F2D85"/>
    <w:rsid w:val="006F376E"/>
    <w:rsid w:val="00707016"/>
    <w:rsid w:val="00716F00"/>
    <w:rsid w:val="00717D25"/>
    <w:rsid w:val="0073084C"/>
    <w:rsid w:val="00731030"/>
    <w:rsid w:val="007344D7"/>
    <w:rsid w:val="00737319"/>
    <w:rsid w:val="00746BD5"/>
    <w:rsid w:val="007536C3"/>
    <w:rsid w:val="00753A60"/>
    <w:rsid w:val="0076505F"/>
    <w:rsid w:val="0077413A"/>
    <w:rsid w:val="007850A6"/>
    <w:rsid w:val="007A3D6C"/>
    <w:rsid w:val="007A4C82"/>
    <w:rsid w:val="007C3A15"/>
    <w:rsid w:val="007D4708"/>
    <w:rsid w:val="00806846"/>
    <w:rsid w:val="008222AC"/>
    <w:rsid w:val="008274D8"/>
    <w:rsid w:val="00840B45"/>
    <w:rsid w:val="00851169"/>
    <w:rsid w:val="008836D8"/>
    <w:rsid w:val="00891EB9"/>
    <w:rsid w:val="0089418C"/>
    <w:rsid w:val="0089728B"/>
    <w:rsid w:val="008D4C33"/>
    <w:rsid w:val="008E143A"/>
    <w:rsid w:val="008E5F23"/>
    <w:rsid w:val="008E7AAF"/>
    <w:rsid w:val="008F1315"/>
    <w:rsid w:val="00906EF5"/>
    <w:rsid w:val="00920468"/>
    <w:rsid w:val="00923EF1"/>
    <w:rsid w:val="00924E6A"/>
    <w:rsid w:val="0092710E"/>
    <w:rsid w:val="00934ACD"/>
    <w:rsid w:val="00943066"/>
    <w:rsid w:val="00947CA6"/>
    <w:rsid w:val="009508AE"/>
    <w:rsid w:val="00964877"/>
    <w:rsid w:val="009704C6"/>
    <w:rsid w:val="00974B32"/>
    <w:rsid w:val="009959FE"/>
    <w:rsid w:val="009A7493"/>
    <w:rsid w:val="009C0390"/>
    <w:rsid w:val="009C4330"/>
    <w:rsid w:val="009D7D21"/>
    <w:rsid w:val="009E04F8"/>
    <w:rsid w:val="009F21D0"/>
    <w:rsid w:val="00A06A74"/>
    <w:rsid w:val="00A153AD"/>
    <w:rsid w:val="00A33934"/>
    <w:rsid w:val="00A36B27"/>
    <w:rsid w:val="00A51B0F"/>
    <w:rsid w:val="00A57180"/>
    <w:rsid w:val="00A744E6"/>
    <w:rsid w:val="00A84D47"/>
    <w:rsid w:val="00A870E9"/>
    <w:rsid w:val="00A954F5"/>
    <w:rsid w:val="00AB3ED5"/>
    <w:rsid w:val="00AD3651"/>
    <w:rsid w:val="00AE2FAD"/>
    <w:rsid w:val="00AF6F41"/>
    <w:rsid w:val="00AF7330"/>
    <w:rsid w:val="00B01298"/>
    <w:rsid w:val="00B07BC3"/>
    <w:rsid w:val="00B11D9E"/>
    <w:rsid w:val="00B12E0D"/>
    <w:rsid w:val="00B26632"/>
    <w:rsid w:val="00B30CAE"/>
    <w:rsid w:val="00B32B00"/>
    <w:rsid w:val="00B4331E"/>
    <w:rsid w:val="00B50C23"/>
    <w:rsid w:val="00B522B6"/>
    <w:rsid w:val="00B55AEC"/>
    <w:rsid w:val="00B560F9"/>
    <w:rsid w:val="00B56B75"/>
    <w:rsid w:val="00B636B4"/>
    <w:rsid w:val="00B7067C"/>
    <w:rsid w:val="00B8002C"/>
    <w:rsid w:val="00B808EA"/>
    <w:rsid w:val="00B83F8E"/>
    <w:rsid w:val="00B96BF7"/>
    <w:rsid w:val="00BA3F5E"/>
    <w:rsid w:val="00BA5C6C"/>
    <w:rsid w:val="00BB47F5"/>
    <w:rsid w:val="00BB78C6"/>
    <w:rsid w:val="00BC2390"/>
    <w:rsid w:val="00BC35E8"/>
    <w:rsid w:val="00BC4612"/>
    <w:rsid w:val="00BD5C8F"/>
    <w:rsid w:val="00BE0DDE"/>
    <w:rsid w:val="00BE4020"/>
    <w:rsid w:val="00BE5550"/>
    <w:rsid w:val="00BF1814"/>
    <w:rsid w:val="00C011E9"/>
    <w:rsid w:val="00C22CED"/>
    <w:rsid w:val="00C33F8E"/>
    <w:rsid w:val="00C41E28"/>
    <w:rsid w:val="00C434E8"/>
    <w:rsid w:val="00C45E03"/>
    <w:rsid w:val="00C47ACF"/>
    <w:rsid w:val="00C6493A"/>
    <w:rsid w:val="00C6659C"/>
    <w:rsid w:val="00C85969"/>
    <w:rsid w:val="00CA01D6"/>
    <w:rsid w:val="00CD1578"/>
    <w:rsid w:val="00CE55AE"/>
    <w:rsid w:val="00CE6A13"/>
    <w:rsid w:val="00CE7FA3"/>
    <w:rsid w:val="00CF506D"/>
    <w:rsid w:val="00D0138C"/>
    <w:rsid w:val="00D050E3"/>
    <w:rsid w:val="00D1226C"/>
    <w:rsid w:val="00D139A2"/>
    <w:rsid w:val="00D16764"/>
    <w:rsid w:val="00D2402F"/>
    <w:rsid w:val="00D340F6"/>
    <w:rsid w:val="00D37867"/>
    <w:rsid w:val="00D73EFB"/>
    <w:rsid w:val="00D8012D"/>
    <w:rsid w:val="00D90B39"/>
    <w:rsid w:val="00D9368B"/>
    <w:rsid w:val="00DA02BE"/>
    <w:rsid w:val="00DA0DF8"/>
    <w:rsid w:val="00DA6CCE"/>
    <w:rsid w:val="00DB2C44"/>
    <w:rsid w:val="00DB3992"/>
    <w:rsid w:val="00DC45B6"/>
    <w:rsid w:val="00DF3ECE"/>
    <w:rsid w:val="00DF5E5F"/>
    <w:rsid w:val="00E278F1"/>
    <w:rsid w:val="00E44EC7"/>
    <w:rsid w:val="00E52453"/>
    <w:rsid w:val="00E57B3A"/>
    <w:rsid w:val="00E643A6"/>
    <w:rsid w:val="00E66DCA"/>
    <w:rsid w:val="00E73376"/>
    <w:rsid w:val="00E7420F"/>
    <w:rsid w:val="00E753DC"/>
    <w:rsid w:val="00E81C69"/>
    <w:rsid w:val="00E87CD9"/>
    <w:rsid w:val="00EA5905"/>
    <w:rsid w:val="00EB1834"/>
    <w:rsid w:val="00EB35BC"/>
    <w:rsid w:val="00EB7E4E"/>
    <w:rsid w:val="00EC5221"/>
    <w:rsid w:val="00EE410C"/>
    <w:rsid w:val="00EE4D4D"/>
    <w:rsid w:val="00EE76FE"/>
    <w:rsid w:val="00EF445D"/>
    <w:rsid w:val="00F00975"/>
    <w:rsid w:val="00F06D75"/>
    <w:rsid w:val="00F06F79"/>
    <w:rsid w:val="00F227F3"/>
    <w:rsid w:val="00F26BCE"/>
    <w:rsid w:val="00F34F01"/>
    <w:rsid w:val="00F36D27"/>
    <w:rsid w:val="00F447F5"/>
    <w:rsid w:val="00F54164"/>
    <w:rsid w:val="00F6732C"/>
    <w:rsid w:val="00F7027F"/>
    <w:rsid w:val="00F74E34"/>
    <w:rsid w:val="00F916A3"/>
    <w:rsid w:val="00FA17CC"/>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195049986">
      <w:bodyDiv w:val="1"/>
      <w:marLeft w:val="0"/>
      <w:marRight w:val="0"/>
      <w:marTop w:val="0"/>
      <w:marBottom w:val="0"/>
      <w:divBdr>
        <w:top w:val="none" w:sz="0" w:space="0" w:color="auto"/>
        <w:left w:val="none" w:sz="0" w:space="0" w:color="auto"/>
        <w:bottom w:val="none" w:sz="0" w:space="0" w:color="auto"/>
        <w:right w:val="none" w:sz="0" w:space="0" w:color="auto"/>
      </w:divBdr>
    </w:div>
    <w:div w:id="225607219">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432476750">
      <w:bodyDiv w:val="1"/>
      <w:marLeft w:val="0"/>
      <w:marRight w:val="0"/>
      <w:marTop w:val="0"/>
      <w:marBottom w:val="0"/>
      <w:divBdr>
        <w:top w:val="none" w:sz="0" w:space="0" w:color="auto"/>
        <w:left w:val="none" w:sz="0" w:space="0" w:color="auto"/>
        <w:bottom w:val="none" w:sz="0" w:space="0" w:color="auto"/>
        <w:right w:val="none" w:sz="0" w:space="0" w:color="auto"/>
      </w:divBdr>
    </w:div>
    <w:div w:id="43922829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583300093">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699939132">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38928568">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880559217">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49124126">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28287974">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25531140">
      <w:bodyDiv w:val="1"/>
      <w:marLeft w:val="0"/>
      <w:marRight w:val="0"/>
      <w:marTop w:val="0"/>
      <w:marBottom w:val="0"/>
      <w:divBdr>
        <w:top w:val="none" w:sz="0" w:space="0" w:color="auto"/>
        <w:left w:val="none" w:sz="0" w:space="0" w:color="auto"/>
        <w:bottom w:val="none" w:sz="0" w:space="0" w:color="auto"/>
        <w:right w:val="none" w:sz="0" w:space="0" w:color="auto"/>
      </w:divBdr>
    </w:div>
    <w:div w:id="1243292502">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274747791">
      <w:bodyDiv w:val="1"/>
      <w:marLeft w:val="0"/>
      <w:marRight w:val="0"/>
      <w:marTop w:val="0"/>
      <w:marBottom w:val="0"/>
      <w:divBdr>
        <w:top w:val="none" w:sz="0" w:space="0" w:color="auto"/>
        <w:left w:val="none" w:sz="0" w:space="0" w:color="auto"/>
        <w:bottom w:val="none" w:sz="0" w:space="0" w:color="auto"/>
        <w:right w:val="none" w:sz="0" w:space="0" w:color="auto"/>
      </w:divBdr>
    </w:div>
    <w:div w:id="1305354285">
      <w:bodyDiv w:val="1"/>
      <w:marLeft w:val="0"/>
      <w:marRight w:val="0"/>
      <w:marTop w:val="0"/>
      <w:marBottom w:val="0"/>
      <w:divBdr>
        <w:top w:val="none" w:sz="0" w:space="0" w:color="auto"/>
        <w:left w:val="none" w:sz="0" w:space="0" w:color="auto"/>
        <w:bottom w:val="none" w:sz="0" w:space="0" w:color="auto"/>
        <w:right w:val="none" w:sz="0" w:space="0" w:color="auto"/>
      </w:divBdr>
    </w:div>
    <w:div w:id="1315719825">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481656432">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75971851">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23346099">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26916985">
      <w:bodyDiv w:val="1"/>
      <w:marLeft w:val="0"/>
      <w:marRight w:val="0"/>
      <w:marTop w:val="0"/>
      <w:marBottom w:val="0"/>
      <w:divBdr>
        <w:top w:val="none" w:sz="0" w:space="0" w:color="auto"/>
        <w:left w:val="none" w:sz="0" w:space="0" w:color="auto"/>
        <w:bottom w:val="none" w:sz="0" w:space="0" w:color="auto"/>
        <w:right w:val="none" w:sz="0" w:space="0" w:color="auto"/>
      </w:divBdr>
    </w:div>
    <w:div w:id="1947538563">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68651405">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CEDER MONEGROS</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1.511996827285346E-2</c:v>
                </c:pt>
                <c:pt idx="1">
                  <c:v>1.7152488598056712E-2</c:v>
                </c:pt>
                <c:pt idx="2">
                  <c:v>1.6755899266309736E-2</c:v>
                </c:pt>
                <c:pt idx="3">
                  <c:v>1.5962720602815783E-2</c:v>
                </c:pt>
                <c:pt idx="4">
                  <c:v>2.1961134245488796E-2</c:v>
                </c:pt>
                <c:pt idx="5">
                  <c:v>2.6918500892325996E-2</c:v>
                </c:pt>
                <c:pt idx="6">
                  <c:v>2.9892920880428317E-2</c:v>
                </c:pt>
                <c:pt idx="7">
                  <c:v>3.0884394209795756E-2</c:v>
                </c:pt>
                <c:pt idx="8">
                  <c:v>2.9992068213365062E-2</c:v>
                </c:pt>
                <c:pt idx="9">
                  <c:v>3.2867340868530638E-2</c:v>
                </c:pt>
                <c:pt idx="10">
                  <c:v>3.3462224866151101E-2</c:v>
                </c:pt>
                <c:pt idx="11">
                  <c:v>3.0586952210985525E-2</c:v>
                </c:pt>
                <c:pt idx="12">
                  <c:v>2.8554431885782272E-2</c:v>
                </c:pt>
                <c:pt idx="13">
                  <c:v>2.9496331548681341E-2</c:v>
                </c:pt>
                <c:pt idx="14">
                  <c:v>2.3894507237755304E-2</c:v>
                </c:pt>
                <c:pt idx="15">
                  <c:v>3.3115209200872499E-2</c:v>
                </c:pt>
                <c:pt idx="16">
                  <c:v>3.0339083878643664E-2</c:v>
                </c:pt>
                <c:pt idx="17">
                  <c:v>2.156454491374182E-2</c:v>
                </c:pt>
                <c:pt idx="18">
                  <c:v>9.3198492960539364E-3</c:v>
                </c:pt>
                <c:pt idx="19">
                  <c:v>3.2222883204441801E-3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-1.7003767598651597E-2</c:v>
                </c:pt>
                <c:pt idx="1">
                  <c:v>-1.7251635930993457E-2</c:v>
                </c:pt>
                <c:pt idx="2">
                  <c:v>-1.7945667261550665E-2</c:v>
                </c:pt>
                <c:pt idx="3">
                  <c:v>-1.9779892920880428E-2</c:v>
                </c:pt>
                <c:pt idx="4">
                  <c:v>-2.3250049573666467E-2</c:v>
                </c:pt>
                <c:pt idx="5">
                  <c:v>-3.1132262542137617E-2</c:v>
                </c:pt>
                <c:pt idx="6">
                  <c:v>-3.6734086853063654E-2</c:v>
                </c:pt>
                <c:pt idx="7">
                  <c:v>-3.9163196510013883E-2</c:v>
                </c:pt>
                <c:pt idx="8">
                  <c:v>-3.7081102518342256E-2</c:v>
                </c:pt>
                <c:pt idx="9">
                  <c:v>-4.0947848502875271E-2</c:v>
                </c:pt>
                <c:pt idx="10">
                  <c:v>-4.1691453499900853E-2</c:v>
                </c:pt>
                <c:pt idx="11">
                  <c:v>-3.5346024191949238E-2</c:v>
                </c:pt>
                <c:pt idx="12">
                  <c:v>-3.2669046202657148E-2</c:v>
                </c:pt>
                <c:pt idx="13">
                  <c:v>-3.0586952210985525E-2</c:v>
                </c:pt>
                <c:pt idx="14">
                  <c:v>-2.3944080904223678E-2</c:v>
                </c:pt>
                <c:pt idx="15">
                  <c:v>-3.0438231211580409E-2</c:v>
                </c:pt>
                <c:pt idx="16">
                  <c:v>-2.4687685901249257E-2</c:v>
                </c:pt>
                <c:pt idx="17">
                  <c:v>-1.3979773944080905E-2</c:v>
                </c:pt>
                <c:pt idx="18">
                  <c:v>-4.3129089827483643E-3</c:v>
                </c:pt>
                <c:pt idx="19">
                  <c:v>-9.914733293674401E-4</c:v>
                </c:pt>
              </c:numCache>
            </c:numRef>
          </c:val>
        </c:ser>
        <c:dLbls>
          <c:showLegendKey val="0"/>
          <c:showVal val="0"/>
          <c:showCatName val="0"/>
          <c:showSerName val="0"/>
          <c:showPercent val="0"/>
          <c:showBubbleSize val="0"/>
        </c:dLbls>
        <c:gapWidth val="150"/>
        <c:axId val="120219136"/>
        <c:axId val="97123648"/>
      </c:barChart>
      <c:catAx>
        <c:axId val="120219136"/>
        <c:scaling>
          <c:orientation val="minMax"/>
        </c:scaling>
        <c:delete val="0"/>
        <c:axPos val="l"/>
        <c:majorTickMark val="out"/>
        <c:minorTickMark val="none"/>
        <c:tickLblPos val="low"/>
        <c:crossAx val="97123648"/>
        <c:crosses val="autoZero"/>
        <c:auto val="1"/>
        <c:lblAlgn val="ctr"/>
        <c:lblOffset val="100"/>
        <c:noMultiLvlLbl val="0"/>
      </c:catAx>
      <c:valAx>
        <c:axId val="97123648"/>
        <c:scaling>
          <c:orientation val="minMax"/>
        </c:scaling>
        <c:delete val="1"/>
        <c:axPos val="b"/>
        <c:majorGridlines/>
        <c:numFmt formatCode="General" sourceLinked="1"/>
        <c:majorTickMark val="out"/>
        <c:minorTickMark val="none"/>
        <c:tickLblPos val="nextTo"/>
        <c:crossAx val="12021913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CEDER</a:t>
            </a:r>
            <a:r>
              <a:rPr lang="es-ES" sz="1400" baseline="0"/>
              <a:t> MONEGROS</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7975403917935865E-2"/>
          <c:y val="9.5957644055960897E-2"/>
          <c:w val="0.89823566874642402"/>
          <c:h val="0.669563738592309"/>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20</c:v>
                </c:pt>
                <c:pt idx="1">
                  <c:v>169</c:v>
                </c:pt>
                <c:pt idx="2">
                  <c:v>324</c:v>
                </c:pt>
                <c:pt idx="3">
                  <c:v>455</c:v>
                </c:pt>
                <c:pt idx="4">
                  <c:v>563</c:v>
                </c:pt>
                <c:pt idx="5">
                  <c:v>505</c:v>
                </c:pt>
                <c:pt idx="6">
                  <c:v>562</c:v>
                </c:pt>
                <c:pt idx="7">
                  <c:v>587</c:v>
                </c:pt>
                <c:pt idx="8">
                  <c:v>439</c:v>
                </c:pt>
                <c:pt idx="9">
                  <c:v>335</c:v>
                </c:pt>
                <c:pt idx="10">
                  <c:v>53</c:v>
                </c:pt>
                <c:pt idx="11">
                  <c:v>18</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3</c:v>
                </c:pt>
                <c:pt idx="1">
                  <c:v>67</c:v>
                </c:pt>
                <c:pt idx="2">
                  <c:v>149</c:v>
                </c:pt>
                <c:pt idx="3">
                  <c:v>193</c:v>
                </c:pt>
                <c:pt idx="4">
                  <c:v>274</c:v>
                </c:pt>
                <c:pt idx="5">
                  <c:v>244</c:v>
                </c:pt>
                <c:pt idx="6">
                  <c:v>297</c:v>
                </c:pt>
                <c:pt idx="7">
                  <c:v>295</c:v>
                </c:pt>
                <c:pt idx="8">
                  <c:v>238</c:v>
                </c:pt>
                <c:pt idx="9">
                  <c:v>131</c:v>
                </c:pt>
                <c:pt idx="10">
                  <c:v>36</c:v>
                </c:pt>
                <c:pt idx="11">
                  <c:v>4</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23</c:v>
                </c:pt>
                <c:pt idx="1">
                  <c:v>236</c:v>
                </c:pt>
                <c:pt idx="2">
                  <c:v>473</c:v>
                </c:pt>
                <c:pt idx="3">
                  <c:v>648</c:v>
                </c:pt>
                <c:pt idx="4">
                  <c:v>837</c:v>
                </c:pt>
                <c:pt idx="5">
                  <c:v>749</c:v>
                </c:pt>
                <c:pt idx="6">
                  <c:v>859</c:v>
                </c:pt>
                <c:pt idx="7">
                  <c:v>882</c:v>
                </c:pt>
                <c:pt idx="8">
                  <c:v>677</c:v>
                </c:pt>
                <c:pt idx="9">
                  <c:v>466</c:v>
                </c:pt>
                <c:pt idx="10">
                  <c:v>89</c:v>
                </c:pt>
                <c:pt idx="11">
                  <c:v>22</c:v>
                </c:pt>
              </c:numCache>
            </c:numRef>
          </c:val>
        </c:ser>
        <c:dLbls>
          <c:showLegendKey val="0"/>
          <c:showVal val="0"/>
          <c:showCatName val="0"/>
          <c:showSerName val="0"/>
          <c:showPercent val="0"/>
          <c:showBubbleSize val="0"/>
        </c:dLbls>
        <c:gapWidth val="150"/>
        <c:axId val="120218112"/>
        <c:axId val="120698496"/>
      </c:barChart>
      <c:catAx>
        <c:axId val="120218112"/>
        <c:scaling>
          <c:orientation val="minMax"/>
        </c:scaling>
        <c:delete val="0"/>
        <c:axPos val="b"/>
        <c:majorTickMark val="out"/>
        <c:minorTickMark val="none"/>
        <c:tickLblPos val="nextTo"/>
        <c:crossAx val="120698496"/>
        <c:crosses val="autoZero"/>
        <c:auto val="1"/>
        <c:lblAlgn val="ctr"/>
        <c:lblOffset val="100"/>
        <c:noMultiLvlLbl val="0"/>
      </c:catAx>
      <c:valAx>
        <c:axId val="120698496"/>
        <c:scaling>
          <c:orientation val="minMax"/>
        </c:scaling>
        <c:delete val="0"/>
        <c:axPos val="l"/>
        <c:majorGridlines/>
        <c:numFmt formatCode="General" sourceLinked="1"/>
        <c:majorTickMark val="out"/>
        <c:minorTickMark val="none"/>
        <c:tickLblPos val="nextTo"/>
        <c:crossAx val="12021811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CEDER</a:t>
            </a:r>
            <a:r>
              <a:rPr lang="es-ES" sz="1400" baseline="0"/>
              <a:t> MONEGROS</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6.6436163747113086E-2"/>
          <c:y val="0.11024216924807476"/>
          <c:w val="0.90997893059250956"/>
          <c:h val="0.67911357835078312"/>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25</c:v>
                </c:pt>
                <c:pt idx="1">
                  <c:v>188</c:v>
                </c:pt>
                <c:pt idx="2">
                  <c:v>347</c:v>
                </c:pt>
                <c:pt idx="3">
                  <c:v>457</c:v>
                </c:pt>
                <c:pt idx="4">
                  <c:v>574</c:v>
                </c:pt>
                <c:pt idx="5">
                  <c:v>549</c:v>
                </c:pt>
                <c:pt idx="6">
                  <c:v>556</c:v>
                </c:pt>
                <c:pt idx="7">
                  <c:v>607</c:v>
                </c:pt>
                <c:pt idx="8">
                  <c:v>430</c:v>
                </c:pt>
                <c:pt idx="9">
                  <c:v>340</c:v>
                </c:pt>
                <c:pt idx="10">
                  <c:v>49</c:v>
                </c:pt>
                <c:pt idx="11">
                  <c:v>17</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3</c:v>
                </c:pt>
                <c:pt idx="1">
                  <c:v>74</c:v>
                </c:pt>
                <c:pt idx="2">
                  <c:v>147</c:v>
                </c:pt>
                <c:pt idx="3">
                  <c:v>205</c:v>
                </c:pt>
                <c:pt idx="4">
                  <c:v>257</c:v>
                </c:pt>
                <c:pt idx="5">
                  <c:v>263</c:v>
                </c:pt>
                <c:pt idx="6">
                  <c:v>287</c:v>
                </c:pt>
                <c:pt idx="7">
                  <c:v>289</c:v>
                </c:pt>
                <c:pt idx="8">
                  <c:v>235</c:v>
                </c:pt>
                <c:pt idx="9">
                  <c:v>127</c:v>
                </c:pt>
                <c:pt idx="10">
                  <c:v>39</c:v>
                </c:pt>
                <c:pt idx="11">
                  <c:v>2</c:v>
                </c:pt>
              </c:numCache>
            </c:numRef>
          </c:val>
        </c:ser>
        <c:dLbls>
          <c:showLegendKey val="0"/>
          <c:showVal val="0"/>
          <c:showCatName val="0"/>
          <c:showSerName val="0"/>
          <c:showPercent val="0"/>
          <c:showBubbleSize val="0"/>
        </c:dLbls>
        <c:gapWidth val="150"/>
        <c:axId val="121093632"/>
        <c:axId val="120700224"/>
      </c:barChart>
      <c:catAx>
        <c:axId val="121093632"/>
        <c:scaling>
          <c:orientation val="minMax"/>
        </c:scaling>
        <c:delete val="0"/>
        <c:axPos val="b"/>
        <c:majorTickMark val="out"/>
        <c:minorTickMark val="none"/>
        <c:tickLblPos val="nextTo"/>
        <c:crossAx val="120700224"/>
        <c:crosses val="autoZero"/>
        <c:auto val="1"/>
        <c:lblAlgn val="ctr"/>
        <c:lblOffset val="100"/>
        <c:noMultiLvlLbl val="0"/>
      </c:catAx>
      <c:valAx>
        <c:axId val="120700224"/>
        <c:scaling>
          <c:orientation val="minMax"/>
        </c:scaling>
        <c:delete val="0"/>
        <c:axPos val="l"/>
        <c:majorGridlines/>
        <c:numFmt formatCode="General" sourceLinked="1"/>
        <c:majorTickMark val="out"/>
        <c:minorTickMark val="none"/>
        <c:tickLblPos val="nextTo"/>
        <c:crossAx val="12109363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0900992286678436E-2"/>
          <c:y val="0.10774571147356581"/>
          <c:w val="0.66187111655685893"/>
          <c:h val="0.74699936156629065"/>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CEDER MONEGROS</c:v>
                  </c:pt>
                </c:lvl>
              </c:multiLvlStrCache>
            </c:multiLvlStrRef>
          </c:cat>
          <c:val>
            <c:numRef>
              <c:f>'Tabla régimen-actividad JUN'!$B$9:$B$11</c:f>
              <c:numCache>
                <c:formatCode>General</c:formatCode>
                <c:ptCount val="2"/>
                <c:pt idx="0">
                  <c:v>1640</c:v>
                </c:pt>
                <c:pt idx="1">
                  <c:v>872</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CEDER MONEGROS</c:v>
                  </c:pt>
                </c:lvl>
              </c:multiLvlStrCache>
            </c:multiLvlStrRef>
          </c:cat>
          <c:val>
            <c:numRef>
              <c:f>'Tabla régimen-actividad JUN'!$C$9:$C$11</c:f>
              <c:numCache>
                <c:formatCode>General</c:formatCode>
                <c:ptCount val="2"/>
                <c:pt idx="0">
                  <c:v>117</c:v>
                </c:pt>
                <c:pt idx="1">
                  <c:v>542</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CEDER MONEGROS</c:v>
                  </c:pt>
                </c:lvl>
              </c:multiLvlStrCache>
            </c:multiLvlStrRef>
          </c:cat>
          <c:val>
            <c:numRef>
              <c:f>'Tabla régimen-actividad JUN'!$D$9:$D$11</c:f>
              <c:numCache>
                <c:formatCode>General</c:formatCode>
                <c:ptCount val="2"/>
                <c:pt idx="0">
                  <c:v>279</c:v>
                </c:pt>
                <c:pt idx="1">
                  <c:v>323</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CEDER MONEGROS</c:v>
                  </c:pt>
                </c:lvl>
              </c:multiLvlStrCache>
            </c:multiLvlStrRef>
          </c:cat>
          <c:val>
            <c:numRef>
              <c:f>'Tabla régimen-actividad JUN'!$E$9:$E$11</c:f>
              <c:numCache>
                <c:formatCode>General</c:formatCode>
                <c:ptCount val="2"/>
                <c:pt idx="0">
                  <c:v>777</c:v>
                </c:pt>
                <c:pt idx="1">
                  <c:v>1517</c:v>
                </c:pt>
              </c:numCache>
            </c:numRef>
          </c:val>
        </c:ser>
        <c:dLbls>
          <c:showLegendKey val="0"/>
          <c:showVal val="0"/>
          <c:showCatName val="0"/>
          <c:showSerName val="0"/>
          <c:showPercent val="0"/>
          <c:showBubbleSize val="0"/>
        </c:dLbls>
        <c:gapWidth val="150"/>
        <c:shape val="box"/>
        <c:axId val="121516032"/>
        <c:axId val="121406592"/>
        <c:axId val="0"/>
      </c:bar3DChart>
      <c:catAx>
        <c:axId val="121516032"/>
        <c:scaling>
          <c:orientation val="minMax"/>
        </c:scaling>
        <c:delete val="0"/>
        <c:axPos val="b"/>
        <c:majorTickMark val="out"/>
        <c:minorTickMark val="none"/>
        <c:tickLblPos val="nextTo"/>
        <c:crossAx val="121406592"/>
        <c:crosses val="autoZero"/>
        <c:auto val="1"/>
        <c:lblAlgn val="ctr"/>
        <c:lblOffset val="100"/>
        <c:noMultiLvlLbl val="0"/>
      </c:catAx>
      <c:valAx>
        <c:axId val="121406592"/>
        <c:scaling>
          <c:orientation val="minMax"/>
        </c:scaling>
        <c:delete val="0"/>
        <c:axPos val="l"/>
        <c:majorGridlines/>
        <c:numFmt formatCode="General" sourceLinked="1"/>
        <c:majorTickMark val="out"/>
        <c:minorTickMark val="none"/>
        <c:tickLblPos val="nextTo"/>
        <c:crossAx val="121516032"/>
        <c:crosses val="autoZero"/>
        <c:crossBetween val="between"/>
      </c:valAx>
    </c:plotArea>
    <c:legend>
      <c:legendPos val="b"/>
      <c:layout>
        <c:manualLayout>
          <c:xMode val="edge"/>
          <c:yMode val="edge"/>
          <c:x val="0.73855087310514755"/>
          <c:y val="0.12326701349831271"/>
          <c:w val="0.25844247147677973"/>
          <c:h val="0.79488774840644916"/>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6327212869942979E-2"/>
          <c:y val="0.10483616601238964"/>
          <c:w val="0.89858658023350535"/>
          <c:h val="0.71617888992262135"/>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CEDER MONEGROS</c:v>
                  </c:pt>
                </c:lvl>
              </c:multiLvlStrCache>
            </c:multiLvlStrRef>
          </c:cat>
          <c:val>
            <c:numRef>
              <c:f>'Gráfico altas régimen y sexo'!$C$9:$C$12</c:f>
              <c:numCache>
                <c:formatCode>General</c:formatCode>
                <c:ptCount val="2"/>
                <c:pt idx="0">
                  <c:v>2801</c:v>
                </c:pt>
                <c:pt idx="1">
                  <c:v>3160</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CEDER MONEGROS</c:v>
                  </c:pt>
                </c:lvl>
              </c:multiLvlStrCache>
            </c:multiLvlStrRef>
          </c:cat>
          <c:val>
            <c:numRef>
              <c:f>'Gráfico altas régimen y sexo'!$D$9:$D$12</c:f>
              <c:numCache>
                <c:formatCode>General</c:formatCode>
                <c:ptCount val="2"/>
                <c:pt idx="0">
                  <c:v>2004</c:v>
                </c:pt>
                <c:pt idx="1">
                  <c:v>2026</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CEDER MONEGROS</c:v>
                  </c:pt>
                </c:lvl>
              </c:multiLvlStrCache>
            </c:multiLvlStrRef>
          </c:cat>
          <c:val>
            <c:numRef>
              <c:f>'Gráfico altas régimen y sexo'!$E$9:$E$12</c:f>
              <c:numCache>
                <c:formatCode>General</c:formatCode>
                <c:ptCount val="2"/>
                <c:pt idx="0">
                  <c:v>797</c:v>
                </c:pt>
                <c:pt idx="1">
                  <c:v>1134</c:v>
                </c:pt>
              </c:numCache>
            </c:numRef>
          </c:val>
        </c:ser>
        <c:dLbls>
          <c:showLegendKey val="0"/>
          <c:showVal val="0"/>
          <c:showCatName val="0"/>
          <c:showSerName val="0"/>
          <c:showPercent val="0"/>
          <c:showBubbleSize val="0"/>
        </c:dLbls>
        <c:gapWidth val="150"/>
        <c:shape val="box"/>
        <c:axId val="121517568"/>
        <c:axId val="121408320"/>
        <c:axId val="0"/>
      </c:bar3DChart>
      <c:catAx>
        <c:axId val="121517568"/>
        <c:scaling>
          <c:orientation val="minMax"/>
        </c:scaling>
        <c:delete val="0"/>
        <c:axPos val="b"/>
        <c:majorTickMark val="out"/>
        <c:minorTickMark val="none"/>
        <c:tickLblPos val="nextTo"/>
        <c:crossAx val="121408320"/>
        <c:crosses val="autoZero"/>
        <c:auto val="1"/>
        <c:lblAlgn val="ctr"/>
        <c:lblOffset val="100"/>
        <c:noMultiLvlLbl val="0"/>
      </c:catAx>
      <c:valAx>
        <c:axId val="121408320"/>
        <c:scaling>
          <c:orientation val="minMax"/>
        </c:scaling>
        <c:delete val="0"/>
        <c:axPos val="l"/>
        <c:majorGridlines/>
        <c:numFmt formatCode="General" sourceLinked="1"/>
        <c:majorTickMark val="out"/>
        <c:minorTickMark val="none"/>
        <c:tickLblPos val="nextTo"/>
        <c:crossAx val="121517568"/>
        <c:crosses val="autoZero"/>
        <c:crossBetween val="between"/>
      </c:valAx>
    </c:plotArea>
    <c:legend>
      <c:legendPos val="b"/>
      <c:layout>
        <c:manualLayout>
          <c:xMode val="edge"/>
          <c:yMode val="edge"/>
          <c:x val="0.21359557426011402"/>
          <c:y val="0.93485982209716567"/>
          <c:w val="0.60729144040184635"/>
          <c:h val="6.514017790283419E-2"/>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CEDER</a:t>
            </a:r>
            <a:r>
              <a:rPr lang="en-US" sz="1400" baseline="0"/>
              <a:t> MONEGROS</a:t>
            </a:r>
            <a:endParaRPr lang="en-US" sz="1400"/>
          </a:p>
        </c:rich>
      </c:tx>
      <c:layout/>
      <c:overlay val="1"/>
    </c:title>
    <c:autoTitleDeleted val="0"/>
    <c:pivotFmts>
      <c:pivotFmt>
        <c:idx val="0"/>
      </c:pivotFmt>
      <c:pivotFmt>
        <c:idx val="1"/>
      </c:pivotFmt>
      <c:pivotFmt>
        <c:idx val="2"/>
      </c:pivotFmt>
    </c:pivotFmts>
    <c:plotArea>
      <c:layout>
        <c:manualLayout>
          <c:layoutTarget val="inner"/>
          <c:xMode val="edge"/>
          <c:yMode val="edge"/>
          <c:x val="9.6630232076253625E-2"/>
          <c:y val="0.1428106000199342"/>
          <c:w val="0.85167803860043789"/>
          <c:h val="0.66153381341572792"/>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28881</c:v>
                </c:pt>
                <c:pt idx="1">
                  <c:v>30951</c:v>
                </c:pt>
                <c:pt idx="2">
                  <c:v>31753</c:v>
                </c:pt>
                <c:pt idx="3">
                  <c:v>30616</c:v>
                </c:pt>
                <c:pt idx="4">
                  <c:v>30548</c:v>
                </c:pt>
                <c:pt idx="5">
                  <c:v>28234</c:v>
                </c:pt>
                <c:pt idx="6">
                  <c:v>28841</c:v>
                </c:pt>
                <c:pt idx="7">
                  <c:v>27698</c:v>
                </c:pt>
                <c:pt idx="8">
                  <c:v>25661</c:v>
                </c:pt>
                <c:pt idx="9">
                  <c:v>23253</c:v>
                </c:pt>
                <c:pt idx="10">
                  <c:v>20989</c:v>
                </c:pt>
                <c:pt idx="11">
                  <c:v>20580</c:v>
                </c:pt>
                <c:pt idx="12">
                  <c:v>20172</c:v>
                </c:pt>
              </c:numCache>
            </c:numRef>
          </c:val>
          <c:smooth val="0"/>
        </c:ser>
        <c:dLbls>
          <c:showLegendKey val="0"/>
          <c:showVal val="0"/>
          <c:showCatName val="0"/>
          <c:showSerName val="0"/>
          <c:showPercent val="0"/>
          <c:showBubbleSize val="0"/>
        </c:dLbls>
        <c:marker val="1"/>
        <c:smooth val="0"/>
        <c:axId val="120217600"/>
        <c:axId val="115516544"/>
      </c:lineChart>
      <c:catAx>
        <c:axId val="120217600"/>
        <c:scaling>
          <c:orientation val="minMax"/>
        </c:scaling>
        <c:delete val="0"/>
        <c:axPos val="b"/>
        <c:majorTickMark val="out"/>
        <c:minorTickMark val="none"/>
        <c:tickLblPos val="nextTo"/>
        <c:crossAx val="115516544"/>
        <c:crosses val="autoZero"/>
        <c:auto val="1"/>
        <c:lblAlgn val="ctr"/>
        <c:lblOffset val="100"/>
        <c:noMultiLvlLbl val="0"/>
      </c:catAx>
      <c:valAx>
        <c:axId val="115516544"/>
        <c:scaling>
          <c:orientation val="minMax"/>
        </c:scaling>
        <c:delete val="0"/>
        <c:axPos val="l"/>
        <c:majorGridlines/>
        <c:numFmt formatCode="General" sourceLinked="1"/>
        <c:majorTickMark val="out"/>
        <c:minorTickMark val="none"/>
        <c:tickLblPos val="nextTo"/>
        <c:crossAx val="120217600"/>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
        <c:idx val="9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218</c:v>
                </c:pt>
                <c:pt idx="1">
                  <c:v>3803</c:v>
                </c:pt>
                <c:pt idx="2">
                  <c:v>5199</c:v>
                </c:pt>
                <c:pt idx="3">
                  <c:v>10952</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
        <c:idx val="16"/>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3</c:v>
                </c:pt>
                <c:pt idx="1">
                  <c:v>14</c:v>
                </c:pt>
                <c:pt idx="2">
                  <c:v>8</c:v>
                </c:pt>
                <c:pt idx="3">
                  <c:v>6</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Hstórico de nacimientos (CEDER</a:t>
            </a:r>
            <a:r>
              <a:rPr lang="es-ES" sz="1400" baseline="0"/>
              <a:t> MONEGROS)</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8650935918993196E-2"/>
          <c:y val="0.13375782810585132"/>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CEDER MONEGROS</c:v>
                </c:pt>
              </c:strCache>
            </c:strRef>
          </c:cat>
          <c:val>
            <c:numRef>
              <c:f>'nacimientos grupo'!$B$7:$B$8</c:f>
              <c:numCache>
                <c:formatCode>General</c:formatCode>
                <c:ptCount val="1"/>
                <c:pt idx="0">
                  <c:v>124</c:v>
                </c:pt>
              </c:numCache>
            </c:numRef>
          </c:val>
        </c:ser>
        <c:ser>
          <c:idx val="1"/>
          <c:order val="1"/>
          <c:tx>
            <c:strRef>
              <c:f>'nacimientos grupo'!$C$5:$C$6</c:f>
              <c:strCache>
                <c:ptCount val="1"/>
                <c:pt idx="0">
                  <c:v>Año 2011</c:v>
                </c:pt>
              </c:strCache>
            </c:strRef>
          </c:tx>
          <c:invertIfNegative val="0"/>
          <c:cat>
            <c:strRef>
              <c:f>'nacimientos grupo'!$A$7:$A$8</c:f>
              <c:strCache>
                <c:ptCount val="1"/>
                <c:pt idx="0">
                  <c:v>CEDER MONEGROS</c:v>
                </c:pt>
              </c:strCache>
            </c:strRef>
          </c:cat>
          <c:val>
            <c:numRef>
              <c:f>'nacimientos grupo'!$C$7:$C$8</c:f>
              <c:numCache>
                <c:formatCode>General</c:formatCode>
                <c:ptCount val="1"/>
                <c:pt idx="0">
                  <c:v>114</c:v>
                </c:pt>
              </c:numCache>
            </c:numRef>
          </c:val>
        </c:ser>
        <c:ser>
          <c:idx val="2"/>
          <c:order val="2"/>
          <c:tx>
            <c:strRef>
              <c:f>'nacimientos grupo'!$D$5:$D$6</c:f>
              <c:strCache>
                <c:ptCount val="1"/>
                <c:pt idx="0">
                  <c:v>Año 2010</c:v>
                </c:pt>
              </c:strCache>
            </c:strRef>
          </c:tx>
          <c:invertIfNegative val="0"/>
          <c:cat>
            <c:strRef>
              <c:f>'nacimientos grupo'!$A$7:$A$8</c:f>
              <c:strCache>
                <c:ptCount val="1"/>
                <c:pt idx="0">
                  <c:v>CEDER MONEGROS</c:v>
                </c:pt>
              </c:strCache>
            </c:strRef>
          </c:cat>
          <c:val>
            <c:numRef>
              <c:f>'nacimientos grupo'!$D$7:$D$8</c:f>
              <c:numCache>
                <c:formatCode>General</c:formatCode>
                <c:ptCount val="1"/>
                <c:pt idx="0">
                  <c:v>115</c:v>
                </c:pt>
              </c:numCache>
            </c:numRef>
          </c:val>
        </c:ser>
        <c:ser>
          <c:idx val="3"/>
          <c:order val="3"/>
          <c:tx>
            <c:strRef>
              <c:f>'nacimientos grupo'!$E$5:$E$6</c:f>
              <c:strCache>
                <c:ptCount val="1"/>
                <c:pt idx="0">
                  <c:v>Año 2009</c:v>
                </c:pt>
              </c:strCache>
            </c:strRef>
          </c:tx>
          <c:invertIfNegative val="0"/>
          <c:cat>
            <c:strRef>
              <c:f>'nacimientos grupo'!$A$7:$A$8</c:f>
              <c:strCache>
                <c:ptCount val="1"/>
                <c:pt idx="0">
                  <c:v>CEDER MONEGROS</c:v>
                </c:pt>
              </c:strCache>
            </c:strRef>
          </c:cat>
          <c:val>
            <c:numRef>
              <c:f>'nacimientos grupo'!$E$7:$E$8</c:f>
              <c:numCache>
                <c:formatCode>General</c:formatCode>
                <c:ptCount val="1"/>
                <c:pt idx="0">
                  <c:v>137</c:v>
                </c:pt>
              </c:numCache>
            </c:numRef>
          </c:val>
        </c:ser>
        <c:ser>
          <c:idx val="4"/>
          <c:order val="4"/>
          <c:tx>
            <c:strRef>
              <c:f>'nacimientos grupo'!$F$5:$F$6</c:f>
              <c:strCache>
                <c:ptCount val="1"/>
                <c:pt idx="0">
                  <c:v>Año 2008</c:v>
                </c:pt>
              </c:strCache>
            </c:strRef>
          </c:tx>
          <c:invertIfNegative val="0"/>
          <c:cat>
            <c:strRef>
              <c:f>'nacimientos grupo'!$A$7:$A$8</c:f>
              <c:strCache>
                <c:ptCount val="1"/>
                <c:pt idx="0">
                  <c:v>CEDER MONEGROS</c:v>
                </c:pt>
              </c:strCache>
            </c:strRef>
          </c:cat>
          <c:val>
            <c:numRef>
              <c:f>'nacimientos grupo'!$F$7:$F$8</c:f>
              <c:numCache>
                <c:formatCode>General</c:formatCode>
                <c:ptCount val="1"/>
                <c:pt idx="0">
                  <c:v>118</c:v>
                </c:pt>
              </c:numCache>
            </c:numRef>
          </c:val>
        </c:ser>
        <c:ser>
          <c:idx val="5"/>
          <c:order val="5"/>
          <c:tx>
            <c:strRef>
              <c:f>'nacimientos grupo'!$G$5:$G$6</c:f>
              <c:strCache>
                <c:ptCount val="1"/>
                <c:pt idx="0">
                  <c:v>Año 2007</c:v>
                </c:pt>
              </c:strCache>
            </c:strRef>
          </c:tx>
          <c:invertIfNegative val="0"/>
          <c:cat>
            <c:strRef>
              <c:f>'nacimientos grupo'!$A$7:$A$8</c:f>
              <c:strCache>
                <c:ptCount val="1"/>
                <c:pt idx="0">
                  <c:v>CEDER MONEGROS</c:v>
                </c:pt>
              </c:strCache>
            </c:strRef>
          </c:cat>
          <c:val>
            <c:numRef>
              <c:f>'nacimientos grupo'!$G$7:$G$8</c:f>
              <c:numCache>
                <c:formatCode>General</c:formatCode>
                <c:ptCount val="1"/>
                <c:pt idx="0">
                  <c:v>116</c:v>
                </c:pt>
              </c:numCache>
            </c:numRef>
          </c:val>
        </c:ser>
        <c:dLbls>
          <c:showLegendKey val="0"/>
          <c:showVal val="0"/>
          <c:showCatName val="0"/>
          <c:showSerName val="0"/>
          <c:showPercent val="0"/>
          <c:showBubbleSize val="0"/>
        </c:dLbls>
        <c:gapWidth val="150"/>
        <c:shape val="cylinder"/>
        <c:axId val="117237760"/>
        <c:axId val="115520576"/>
        <c:axId val="0"/>
      </c:bar3DChart>
      <c:catAx>
        <c:axId val="117237760"/>
        <c:scaling>
          <c:orientation val="minMax"/>
        </c:scaling>
        <c:delete val="0"/>
        <c:axPos val="b"/>
        <c:majorTickMark val="out"/>
        <c:minorTickMark val="none"/>
        <c:tickLblPos val="nextTo"/>
        <c:crossAx val="115520576"/>
        <c:crosses val="autoZero"/>
        <c:auto val="1"/>
        <c:lblAlgn val="ctr"/>
        <c:lblOffset val="100"/>
        <c:noMultiLvlLbl val="0"/>
      </c:catAx>
      <c:valAx>
        <c:axId val="115520576"/>
        <c:scaling>
          <c:orientation val="minMax"/>
        </c:scaling>
        <c:delete val="0"/>
        <c:axPos val="l"/>
        <c:majorGridlines/>
        <c:numFmt formatCode="General" sourceLinked="1"/>
        <c:majorTickMark val="out"/>
        <c:minorTickMark val="none"/>
        <c:tickLblPos val="nextTo"/>
        <c:crossAx val="11723776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(CEDER MONEGROS)</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227865431294773E-2"/>
          <c:y val="0.17494978005432796"/>
          <c:w val="0.90134909123201701"/>
          <c:h val="0.69881456692913391"/>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CEDER MONEGROS</c:v>
                </c:pt>
              </c:strCache>
            </c:strRef>
          </c:cat>
          <c:val>
            <c:numRef>
              <c:f>'defunciones grupo'!$B$7:$B$8</c:f>
              <c:numCache>
                <c:formatCode>General</c:formatCode>
                <c:ptCount val="1"/>
                <c:pt idx="0">
                  <c:v>281</c:v>
                </c:pt>
              </c:numCache>
            </c:numRef>
          </c:val>
        </c:ser>
        <c:ser>
          <c:idx val="1"/>
          <c:order val="1"/>
          <c:tx>
            <c:strRef>
              <c:f>'defunciones grupo'!$C$5:$C$6</c:f>
              <c:strCache>
                <c:ptCount val="1"/>
                <c:pt idx="0">
                  <c:v>Año 2011</c:v>
                </c:pt>
              </c:strCache>
            </c:strRef>
          </c:tx>
          <c:invertIfNegative val="0"/>
          <c:cat>
            <c:strRef>
              <c:f>'defunciones grupo'!$A$7:$A$8</c:f>
              <c:strCache>
                <c:ptCount val="1"/>
                <c:pt idx="0">
                  <c:v>CEDER MONEGROS</c:v>
                </c:pt>
              </c:strCache>
            </c:strRef>
          </c:cat>
          <c:val>
            <c:numRef>
              <c:f>'defunciones grupo'!$C$7:$C$8</c:f>
              <c:numCache>
                <c:formatCode>General</c:formatCode>
                <c:ptCount val="1"/>
                <c:pt idx="0">
                  <c:v>284</c:v>
                </c:pt>
              </c:numCache>
            </c:numRef>
          </c:val>
        </c:ser>
        <c:ser>
          <c:idx val="2"/>
          <c:order val="2"/>
          <c:tx>
            <c:strRef>
              <c:f>'defunciones grupo'!$D$5:$D$6</c:f>
              <c:strCache>
                <c:ptCount val="1"/>
                <c:pt idx="0">
                  <c:v>Año 2010</c:v>
                </c:pt>
              </c:strCache>
            </c:strRef>
          </c:tx>
          <c:invertIfNegative val="0"/>
          <c:cat>
            <c:strRef>
              <c:f>'defunciones grupo'!$A$7:$A$8</c:f>
              <c:strCache>
                <c:ptCount val="1"/>
                <c:pt idx="0">
                  <c:v>CEDER MONEGROS</c:v>
                </c:pt>
              </c:strCache>
            </c:strRef>
          </c:cat>
          <c:val>
            <c:numRef>
              <c:f>'defunciones grupo'!$D$7:$D$8</c:f>
              <c:numCache>
                <c:formatCode>General</c:formatCode>
                <c:ptCount val="1"/>
                <c:pt idx="0">
                  <c:v>257</c:v>
                </c:pt>
              </c:numCache>
            </c:numRef>
          </c:val>
        </c:ser>
        <c:ser>
          <c:idx val="3"/>
          <c:order val="3"/>
          <c:tx>
            <c:strRef>
              <c:f>'defunciones grupo'!$E$5:$E$6</c:f>
              <c:strCache>
                <c:ptCount val="1"/>
                <c:pt idx="0">
                  <c:v>Año 2009</c:v>
                </c:pt>
              </c:strCache>
            </c:strRef>
          </c:tx>
          <c:invertIfNegative val="0"/>
          <c:cat>
            <c:strRef>
              <c:f>'defunciones grupo'!$A$7:$A$8</c:f>
              <c:strCache>
                <c:ptCount val="1"/>
                <c:pt idx="0">
                  <c:v>CEDER MONEGROS</c:v>
                </c:pt>
              </c:strCache>
            </c:strRef>
          </c:cat>
          <c:val>
            <c:numRef>
              <c:f>'defunciones grupo'!$E$7:$E$8</c:f>
              <c:numCache>
                <c:formatCode>General</c:formatCode>
                <c:ptCount val="1"/>
                <c:pt idx="0">
                  <c:v>255</c:v>
                </c:pt>
              </c:numCache>
            </c:numRef>
          </c:val>
        </c:ser>
        <c:ser>
          <c:idx val="4"/>
          <c:order val="4"/>
          <c:tx>
            <c:strRef>
              <c:f>'defunciones grupo'!$F$5:$F$6</c:f>
              <c:strCache>
                <c:ptCount val="1"/>
                <c:pt idx="0">
                  <c:v>Año 2008</c:v>
                </c:pt>
              </c:strCache>
            </c:strRef>
          </c:tx>
          <c:invertIfNegative val="0"/>
          <c:cat>
            <c:strRef>
              <c:f>'defunciones grupo'!$A$7:$A$8</c:f>
              <c:strCache>
                <c:ptCount val="1"/>
                <c:pt idx="0">
                  <c:v>CEDER MONEGROS</c:v>
                </c:pt>
              </c:strCache>
            </c:strRef>
          </c:cat>
          <c:val>
            <c:numRef>
              <c:f>'defunciones grupo'!$F$7:$F$8</c:f>
              <c:numCache>
                <c:formatCode>General</c:formatCode>
                <c:ptCount val="1"/>
                <c:pt idx="0">
                  <c:v>282</c:v>
                </c:pt>
              </c:numCache>
            </c:numRef>
          </c:val>
        </c:ser>
        <c:ser>
          <c:idx val="5"/>
          <c:order val="5"/>
          <c:tx>
            <c:strRef>
              <c:f>'defunciones grupo'!$G$5:$G$6</c:f>
              <c:strCache>
                <c:ptCount val="1"/>
                <c:pt idx="0">
                  <c:v>Año 2007</c:v>
                </c:pt>
              </c:strCache>
            </c:strRef>
          </c:tx>
          <c:invertIfNegative val="0"/>
          <c:cat>
            <c:strRef>
              <c:f>'defunciones grupo'!$A$7:$A$8</c:f>
              <c:strCache>
                <c:ptCount val="1"/>
                <c:pt idx="0">
                  <c:v>CEDER MONEGROS</c:v>
                </c:pt>
              </c:strCache>
            </c:strRef>
          </c:cat>
          <c:val>
            <c:numRef>
              <c:f>'defunciones grupo'!$G$7:$G$8</c:f>
              <c:numCache>
                <c:formatCode>General</c:formatCode>
                <c:ptCount val="1"/>
                <c:pt idx="0">
                  <c:v>262</c:v>
                </c:pt>
              </c:numCache>
            </c:numRef>
          </c:val>
        </c:ser>
        <c:ser>
          <c:idx val="6"/>
          <c:order val="6"/>
          <c:tx>
            <c:strRef>
              <c:f>'defunciones grupo'!$H$5:$H$6</c:f>
              <c:strCache>
                <c:ptCount val="1"/>
                <c:pt idx="0">
                  <c:v>Año 2006</c:v>
                </c:pt>
              </c:strCache>
            </c:strRef>
          </c:tx>
          <c:invertIfNegative val="0"/>
          <c:cat>
            <c:strRef>
              <c:f>'defunciones grupo'!$A$7:$A$8</c:f>
              <c:strCache>
                <c:ptCount val="1"/>
                <c:pt idx="0">
                  <c:v>CEDER MONEGROS</c:v>
                </c:pt>
              </c:strCache>
            </c:strRef>
          </c:cat>
          <c:val>
            <c:numRef>
              <c:f>'defunciones grupo'!$H$7:$H$8</c:f>
              <c:numCache>
                <c:formatCode>General</c:formatCode>
                <c:ptCount val="1"/>
                <c:pt idx="0">
                  <c:v>248</c:v>
                </c:pt>
              </c:numCache>
            </c:numRef>
          </c:val>
        </c:ser>
        <c:dLbls>
          <c:showLegendKey val="0"/>
          <c:showVal val="0"/>
          <c:showCatName val="0"/>
          <c:showSerName val="0"/>
          <c:showPercent val="0"/>
          <c:showBubbleSize val="0"/>
        </c:dLbls>
        <c:gapWidth val="150"/>
        <c:shape val="cylinder"/>
        <c:axId val="120221184"/>
        <c:axId val="115522304"/>
        <c:axId val="0"/>
      </c:bar3DChart>
      <c:catAx>
        <c:axId val="120221184"/>
        <c:scaling>
          <c:orientation val="minMax"/>
        </c:scaling>
        <c:delete val="0"/>
        <c:axPos val="b"/>
        <c:majorTickMark val="out"/>
        <c:minorTickMark val="none"/>
        <c:tickLblPos val="nextTo"/>
        <c:crossAx val="115522304"/>
        <c:crosses val="autoZero"/>
        <c:auto val="1"/>
        <c:lblAlgn val="ctr"/>
        <c:lblOffset val="100"/>
        <c:noMultiLvlLbl val="0"/>
      </c:catAx>
      <c:valAx>
        <c:axId val="115522304"/>
        <c:scaling>
          <c:orientation val="minMax"/>
        </c:scaling>
        <c:delete val="0"/>
        <c:axPos val="l"/>
        <c:majorGridlines/>
        <c:numFmt formatCode="General" sourceLinked="1"/>
        <c:majorTickMark val="out"/>
        <c:minorTickMark val="none"/>
        <c:tickLblPos val="nextTo"/>
        <c:crossAx val="12022118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0.1058407583920431"/>
          <c:y val="0.10614527767075291"/>
          <c:w val="0.8941592416079569"/>
          <c:h val="0.65409103324524132"/>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CEDER MONEGROS</c:v>
                </c:pt>
              </c:strCache>
            </c:strRef>
          </c:cat>
          <c:val>
            <c:numRef>
              <c:f>'variación residencia grupo'!$B$7:$B$8</c:f>
              <c:numCache>
                <c:formatCode>General</c:formatCode>
                <c:ptCount val="1"/>
                <c:pt idx="0">
                  <c:v>-147</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CEDER MONEGROS</c:v>
                </c:pt>
              </c:strCache>
            </c:strRef>
          </c:cat>
          <c:val>
            <c:numRef>
              <c:f>'variación residencia grupo'!$C$7:$C$8</c:f>
              <c:numCache>
                <c:formatCode>General</c:formatCode>
                <c:ptCount val="1"/>
                <c:pt idx="0">
                  <c:v>-272</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CEDER MONEGROS</c:v>
                </c:pt>
              </c:strCache>
            </c:strRef>
          </c:cat>
          <c:val>
            <c:numRef>
              <c:f>'variación residencia grupo'!$D$7:$D$8</c:f>
              <c:numCache>
                <c:formatCode>General</c:formatCode>
                <c:ptCount val="1"/>
                <c:pt idx="0">
                  <c:v>-62</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CEDER MONEGROS</c:v>
                </c:pt>
              </c:strCache>
            </c:strRef>
          </c:cat>
          <c:val>
            <c:numRef>
              <c:f>'variación residencia grupo'!$E$7:$E$8</c:f>
              <c:numCache>
                <c:formatCode>General</c:formatCode>
                <c:ptCount val="1"/>
                <c:pt idx="0">
                  <c:v>-57</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CEDER MONEGROS</c:v>
                </c:pt>
              </c:strCache>
            </c:strRef>
          </c:cat>
          <c:val>
            <c:numRef>
              <c:f>'variación residencia grupo'!$F$7:$F$8</c:f>
              <c:numCache>
                <c:formatCode>General</c:formatCode>
                <c:ptCount val="1"/>
                <c:pt idx="0">
                  <c:v>-135</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CEDER MONEGROS</c:v>
                </c:pt>
              </c:strCache>
            </c:strRef>
          </c:cat>
          <c:val>
            <c:numRef>
              <c:f>'variación residencia grupo'!$G$7:$G$8</c:f>
              <c:numCache>
                <c:formatCode>General</c:formatCode>
                <c:ptCount val="1"/>
                <c:pt idx="0">
                  <c:v>57</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CEDER MONEGROS</c:v>
                </c:pt>
              </c:strCache>
            </c:strRef>
          </c:cat>
          <c:val>
            <c:numRef>
              <c:f>'variación residencia grupo'!$H$7:$H$8</c:f>
              <c:numCache>
                <c:formatCode>General</c:formatCode>
                <c:ptCount val="1"/>
                <c:pt idx="0">
                  <c:v>275</c:v>
                </c:pt>
              </c:numCache>
            </c:numRef>
          </c:val>
        </c:ser>
        <c:dLbls>
          <c:showLegendKey val="0"/>
          <c:showVal val="0"/>
          <c:showCatName val="0"/>
          <c:showSerName val="0"/>
          <c:showPercent val="0"/>
          <c:showBubbleSize val="0"/>
        </c:dLbls>
        <c:gapWidth val="150"/>
        <c:shape val="cylinder"/>
        <c:axId val="121091072"/>
        <c:axId val="120693312"/>
        <c:axId val="0"/>
      </c:bar3DChart>
      <c:catAx>
        <c:axId val="121091072"/>
        <c:scaling>
          <c:orientation val="minMax"/>
        </c:scaling>
        <c:delete val="0"/>
        <c:axPos val="b"/>
        <c:majorTickMark val="out"/>
        <c:minorTickMark val="none"/>
        <c:tickLblPos val="low"/>
        <c:crossAx val="120693312"/>
        <c:crosses val="autoZero"/>
        <c:auto val="1"/>
        <c:lblAlgn val="ctr"/>
        <c:lblOffset val="100"/>
        <c:noMultiLvlLbl val="0"/>
      </c:catAx>
      <c:valAx>
        <c:axId val="120693312"/>
        <c:scaling>
          <c:orientation val="minMax"/>
        </c:scaling>
        <c:delete val="0"/>
        <c:axPos val="l"/>
        <c:majorGridlines/>
        <c:numFmt formatCode="General" sourceLinked="1"/>
        <c:majorTickMark val="out"/>
        <c:minorTickMark val="none"/>
        <c:tickLblPos val="nextTo"/>
        <c:crossAx val="12109107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CEDER MONEGROS</c:v>
                </c:pt>
              </c:strCache>
            </c:strRef>
          </c:cat>
          <c:val>
            <c:numRef>
              <c:f>'Tabla porcentajes 2012'!$B$9:$B$10</c:f>
              <c:numCache>
                <c:formatCode>0.0000%</c:formatCode>
                <c:ptCount val="1"/>
                <c:pt idx="0">
                  <c:v>8.7599691278621064E-2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CEDER MONEGROS</c:v>
                </c:pt>
              </c:strCache>
            </c:strRef>
          </c:cat>
          <c:val>
            <c:numRef>
              <c:f>'Tabla porcentajes 2012'!$C$9:$C$10</c:f>
              <c:numCache>
                <c:formatCode>0.0000%</c:formatCode>
                <c:ptCount val="1"/>
                <c:pt idx="0">
                  <c:v>1.6297691945360342E-2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CEDER MONEGROS</c:v>
                </c:pt>
              </c:strCache>
            </c:strRef>
          </c:cat>
          <c:val>
            <c:numRef>
              <c:f>'Tabla porcentajes 2012'!$D$9:$D$10</c:f>
              <c:numCache>
                <c:formatCode>0.0000%</c:formatCode>
                <c:ptCount val="1"/>
                <c:pt idx="0">
                  <c:v>6.1232765612327641E-2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CEDER MONEGROS</c:v>
                </c:pt>
              </c:strCache>
            </c:strRef>
          </c:cat>
          <c:val>
            <c:numRef>
              <c:f>'Tabla porcentajes 2012'!$E$9:$E$10</c:f>
              <c:numCache>
                <c:formatCode>0.0000%</c:formatCode>
                <c:ptCount val="1"/>
                <c:pt idx="0">
                  <c:v>1.7316578140519064E-2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CEDER MONEGROS</c:v>
                </c:pt>
              </c:strCache>
            </c:strRef>
          </c:cat>
          <c:val>
            <c:numRef>
              <c:f>'Tabla porcentajes 2012'!$F$9:$F$10</c:f>
              <c:numCache>
                <c:formatCode>0.0000%</c:formatCode>
                <c:ptCount val="1"/>
                <c:pt idx="0">
                  <c:v>1.2582891377715951E-2</c:v>
                </c:pt>
              </c:numCache>
            </c:numRef>
          </c:val>
        </c:ser>
        <c:dLbls>
          <c:showLegendKey val="0"/>
          <c:showVal val="0"/>
          <c:showCatName val="0"/>
          <c:showSerName val="0"/>
          <c:showPercent val="0"/>
          <c:showBubbleSize val="0"/>
        </c:dLbls>
        <c:gapWidth val="150"/>
        <c:shape val="box"/>
        <c:axId val="121092608"/>
        <c:axId val="120695040"/>
        <c:axId val="0"/>
      </c:bar3DChart>
      <c:catAx>
        <c:axId val="121092608"/>
        <c:scaling>
          <c:orientation val="minMax"/>
        </c:scaling>
        <c:delete val="0"/>
        <c:axPos val="b"/>
        <c:majorTickMark val="out"/>
        <c:minorTickMark val="none"/>
        <c:tickLblPos val="nextTo"/>
        <c:crossAx val="120695040"/>
        <c:crosses val="autoZero"/>
        <c:auto val="1"/>
        <c:lblAlgn val="ctr"/>
        <c:lblOffset val="100"/>
        <c:noMultiLvlLbl val="0"/>
      </c:catAx>
      <c:valAx>
        <c:axId val="120695040"/>
        <c:scaling>
          <c:orientation val="minMax"/>
        </c:scaling>
        <c:delete val="0"/>
        <c:axPos val="l"/>
        <c:majorGridlines/>
        <c:numFmt formatCode="0.00%" sourceLinked="0"/>
        <c:majorTickMark val="out"/>
        <c:minorTickMark val="none"/>
        <c:tickLblPos val="nextTo"/>
        <c:crossAx val="121092608"/>
        <c:crosses val="autoZero"/>
        <c:crossBetween val="between"/>
      </c:valAx>
    </c:plotArea>
    <c:legend>
      <c:legendPos val="b"/>
      <c:layout>
        <c:manualLayout>
          <c:xMode val="edge"/>
          <c:yMode val="edge"/>
          <c:x val="0.72017735405720051"/>
          <c:y val="3.058815364425601E-2"/>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6.3122352824128036E-2"/>
          <c:y val="7.27684039495063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CEDER MONEGROS</c:v>
                </c:pt>
              </c:strCache>
            </c:strRef>
          </c:cat>
          <c:val>
            <c:numRef>
              <c:f>'Tabla evolucion 2012-2011'!$B$9</c:f>
              <c:numCache>
                <c:formatCode>General</c:formatCode>
                <c:ptCount val="1"/>
                <c:pt idx="0">
                  <c:v>-4</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CEDER MONEGROS</c:v>
                </c:pt>
              </c:strCache>
            </c:strRef>
          </c:cat>
          <c:val>
            <c:numRef>
              <c:f>'Tabla evolucion 2012-2011'!$C$9</c:f>
              <c:numCache>
                <c:formatCode>General</c:formatCode>
                <c:ptCount val="1"/>
                <c:pt idx="0">
                  <c:v>-13</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CEDER MONEGROS</c:v>
                </c:pt>
              </c:strCache>
            </c:strRef>
          </c:cat>
          <c:val>
            <c:numRef>
              <c:f>'Tabla evolucion 2012-2011'!$D$9</c:f>
              <c:numCache>
                <c:formatCode>General</c:formatCode>
                <c:ptCount val="1"/>
                <c:pt idx="0">
                  <c:v>-4</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CEDER MONEGROS</c:v>
                </c:pt>
              </c:strCache>
            </c:strRef>
          </c:cat>
          <c:val>
            <c:numRef>
              <c:f>'Tabla evolucion 2012-2011'!$E$9</c:f>
              <c:numCache>
                <c:formatCode>General</c:formatCode>
                <c:ptCount val="1"/>
                <c:pt idx="0">
                  <c:v>-47</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CEDER MONEGROS</c:v>
                </c:pt>
              </c:strCache>
            </c:strRef>
          </c:cat>
          <c:val>
            <c:numRef>
              <c:f>'Tabla evolucion 2012-2011'!$F$9</c:f>
              <c:numCache>
                <c:formatCode>General</c:formatCode>
                <c:ptCount val="1"/>
                <c:pt idx="0">
                  <c:v>-66</c:v>
                </c:pt>
              </c:numCache>
            </c:numRef>
          </c:val>
        </c:ser>
        <c:dLbls>
          <c:showLegendKey val="0"/>
          <c:showVal val="0"/>
          <c:showCatName val="0"/>
          <c:showSerName val="0"/>
          <c:showPercent val="0"/>
          <c:showBubbleSize val="0"/>
        </c:dLbls>
        <c:gapWidth val="150"/>
        <c:shape val="box"/>
        <c:axId val="121093120"/>
        <c:axId val="120696768"/>
        <c:axId val="0"/>
      </c:bar3DChart>
      <c:catAx>
        <c:axId val="121093120"/>
        <c:scaling>
          <c:orientation val="minMax"/>
        </c:scaling>
        <c:delete val="0"/>
        <c:axPos val="b"/>
        <c:majorTickMark val="out"/>
        <c:minorTickMark val="none"/>
        <c:tickLblPos val="low"/>
        <c:crossAx val="120696768"/>
        <c:crosses val="autoZero"/>
        <c:auto val="1"/>
        <c:lblAlgn val="ctr"/>
        <c:lblOffset val="100"/>
        <c:noMultiLvlLbl val="0"/>
      </c:catAx>
      <c:valAx>
        <c:axId val="120696768"/>
        <c:scaling>
          <c:orientation val="minMax"/>
        </c:scaling>
        <c:delete val="0"/>
        <c:axPos val="l"/>
        <c:majorGridlines/>
        <c:numFmt formatCode="General" sourceLinked="1"/>
        <c:majorTickMark val="out"/>
        <c:minorTickMark val="none"/>
        <c:tickLblPos val="nextTo"/>
        <c:crossAx val="121093120"/>
        <c:crosses val="autoZero"/>
        <c:crossBetween val="between"/>
      </c:valAx>
    </c:plotArea>
    <c:legend>
      <c:legendPos val="b"/>
      <c:layout>
        <c:manualLayout>
          <c:xMode val="edge"/>
          <c:yMode val="edge"/>
          <c:x val="0.73557919621749424"/>
          <c:y val="4.2531042785662804E-2"/>
          <c:w val="0.24089922254754262"/>
          <c:h val="0.8368290411377571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2764,46km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7,30</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A3CD7E36-CD76-4FD7-AEE5-5E600344D1DE}" srcId="{8A25AA0E-05A3-48A4-9066-D86732F11EE6}" destId="{F52A5D61-5B52-41D6-82AD-1AB126421323}" srcOrd="0" destOrd="0" parTransId="{44CB80DE-7E59-49AB-834D-195C1AEC6F98}" sibTransId="{E6BF93AC-B433-416D-AA9F-D813E2E7E394}"/>
    <dgm:cxn modelId="{E2554D26-D17C-4CFB-88A2-3BADF2DFF844}" type="presOf" srcId="{DC8F0761-D699-4726-9FCA-759596682644}" destId="{7E56BCF3-9CB5-4F8B-BE2F-0C63200680D4}" srcOrd="0" destOrd="0" presId="urn:microsoft.com/office/officeart/2005/8/layout/hList9"/>
    <dgm:cxn modelId="{B4D7B75F-EEBF-465C-98A1-5D3AB422E8F3}" srcId="{18A8730F-81C8-4E32-8AFC-F641D9564C32}" destId="{5A345620-AAE9-43AC-BFA5-7DCF838F6E6A}" srcOrd="0" destOrd="0" parTransId="{E6081994-E4C2-4952-BBDE-14351334798F}" sibTransId="{0DB3948C-1A0B-476A-81D8-3AAF2857D4B8}"/>
    <dgm:cxn modelId="{F23661FA-D4D5-4F66-9766-BE013364C55A}" srcId="{5A345620-AAE9-43AC-BFA5-7DCF838F6E6A}" destId="{DC8F0761-D699-4726-9FCA-759596682644}" srcOrd="0" destOrd="0" parTransId="{BCF338E4-6CE5-47FC-8844-97E4499475F5}" sibTransId="{3D522E44-48E3-4E26-A847-8B9E2C2F175D}"/>
    <dgm:cxn modelId="{A11BBE70-3C8B-4EC4-A85F-2CEDF02845EE}" type="presOf" srcId="{5A345620-AAE9-43AC-BFA5-7DCF838F6E6A}" destId="{BF6713A8-036E-43D7-9142-70FA401CC8E0}" srcOrd="0" destOrd="0" presId="urn:microsoft.com/office/officeart/2005/8/layout/hList9"/>
    <dgm:cxn modelId="{0681C1C6-36FD-4255-9C78-168344A5A971}" type="presOf" srcId="{18A8730F-81C8-4E32-8AFC-F641D9564C32}" destId="{E62352AE-7A92-409B-A693-FF5F5F371E72}" srcOrd="0" destOrd="0" presId="urn:microsoft.com/office/officeart/2005/8/layout/hList9"/>
    <dgm:cxn modelId="{FAFEEE97-BAEB-4F5F-BE39-3164E38CC2F3}" type="presOf" srcId="{F52A5D61-5B52-41D6-82AD-1AB126421323}" destId="{A37BC357-048C-4C8A-9C7C-39AAB06E79AE}" srcOrd="1" destOrd="0" presId="urn:microsoft.com/office/officeart/2005/8/layout/hList9"/>
    <dgm:cxn modelId="{8C68A26B-A4B4-4B51-8530-CD525DAF8D64}" type="presOf" srcId="{F52A5D61-5B52-41D6-82AD-1AB126421323}" destId="{53641B60-3D2A-48DF-8978-B44702B50950}" srcOrd="0" destOrd="0" presId="urn:microsoft.com/office/officeart/2005/8/layout/hList9"/>
    <dgm:cxn modelId="{FD2461D2-11D5-4A98-90C0-D0889935F09A}" type="presOf" srcId="{8A25AA0E-05A3-48A4-9066-D86732F11EE6}" destId="{575C1222-BBA2-426D-9CA7-C61006236803}" srcOrd="0" destOrd="0" presId="urn:microsoft.com/office/officeart/2005/8/layout/hList9"/>
    <dgm:cxn modelId="{EE7C9110-A1B7-4E42-ADEC-EC4497D1E9A3}" type="presOf" srcId="{DC8F0761-D699-4726-9FCA-759596682644}" destId="{DACECD24-1E16-43E4-80BE-26CFAFDBDD5C}" srcOrd="1"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B8583C81-255B-4E68-99A4-C3478A79D130}" type="presParOf" srcId="{E62352AE-7A92-409B-A693-FF5F5F371E72}" destId="{601C966D-3AF6-4118-B620-1E3EFBE740C9}" srcOrd="0" destOrd="0" presId="urn:microsoft.com/office/officeart/2005/8/layout/hList9"/>
    <dgm:cxn modelId="{9DF4A4E0-3FB9-4204-99CF-41108A852F50}" type="presParOf" srcId="{E62352AE-7A92-409B-A693-FF5F5F371E72}" destId="{F36D099F-EEB4-4F98-872E-B1D06C65E133}" srcOrd="1" destOrd="0" presId="urn:microsoft.com/office/officeart/2005/8/layout/hList9"/>
    <dgm:cxn modelId="{18C4F5AA-BCB9-4586-9866-F6279FC054A6}" type="presParOf" srcId="{F36D099F-EEB4-4F98-872E-B1D06C65E133}" destId="{DB5C4403-791E-4B02-859B-EC3F5B33D810}" srcOrd="0" destOrd="0" presId="urn:microsoft.com/office/officeart/2005/8/layout/hList9"/>
    <dgm:cxn modelId="{EE5D8F3E-567D-49D4-9509-E83087764A27}" type="presParOf" srcId="{F36D099F-EEB4-4F98-872E-B1D06C65E133}" destId="{8F52367C-0189-4D38-8029-7D76FCD93C77}" srcOrd="1" destOrd="0" presId="urn:microsoft.com/office/officeart/2005/8/layout/hList9"/>
    <dgm:cxn modelId="{26FD785C-651C-4FC7-BF17-6E144F6E39F5}" type="presParOf" srcId="{8F52367C-0189-4D38-8029-7D76FCD93C77}" destId="{7E56BCF3-9CB5-4F8B-BE2F-0C63200680D4}" srcOrd="0" destOrd="0" presId="urn:microsoft.com/office/officeart/2005/8/layout/hList9"/>
    <dgm:cxn modelId="{E79E5F65-0C77-4A47-9F01-6CA0EED54304}" type="presParOf" srcId="{8F52367C-0189-4D38-8029-7D76FCD93C77}" destId="{DACECD24-1E16-43E4-80BE-26CFAFDBDD5C}" srcOrd="1" destOrd="0" presId="urn:microsoft.com/office/officeart/2005/8/layout/hList9"/>
    <dgm:cxn modelId="{6DCA12D3-2EAB-4E6C-9F7F-8127B2B8060A}" type="presParOf" srcId="{E62352AE-7A92-409B-A693-FF5F5F371E72}" destId="{5246FFAB-65CC-4258-8CBF-5E13D423474C}" srcOrd="2" destOrd="0" presId="urn:microsoft.com/office/officeart/2005/8/layout/hList9"/>
    <dgm:cxn modelId="{858C06C1-8154-47E9-BBCC-0ADD24B4D80F}" type="presParOf" srcId="{E62352AE-7A92-409B-A693-FF5F5F371E72}" destId="{BF6713A8-036E-43D7-9142-70FA401CC8E0}" srcOrd="3" destOrd="0" presId="urn:microsoft.com/office/officeart/2005/8/layout/hList9"/>
    <dgm:cxn modelId="{ADD18488-C612-4DB9-A32F-914B9276BD4A}" type="presParOf" srcId="{E62352AE-7A92-409B-A693-FF5F5F371E72}" destId="{FB6E445D-BFE8-4AE0-9399-C0EECE766FC0}" srcOrd="4" destOrd="0" presId="urn:microsoft.com/office/officeart/2005/8/layout/hList9"/>
    <dgm:cxn modelId="{3281590B-47FF-408E-826F-2C33B3F32203}" type="presParOf" srcId="{E62352AE-7A92-409B-A693-FF5F5F371E72}" destId="{99EAC4E4-9F15-4285-B02D-55B2D929CDCE}" srcOrd="5" destOrd="0" presId="urn:microsoft.com/office/officeart/2005/8/layout/hList9"/>
    <dgm:cxn modelId="{140CC37B-1D73-4D22-B325-C114876AAD4E}" type="presParOf" srcId="{E62352AE-7A92-409B-A693-FF5F5F371E72}" destId="{C29BD979-117A-4098-82FD-CF9E1B668D9D}" srcOrd="6" destOrd="0" presId="urn:microsoft.com/office/officeart/2005/8/layout/hList9"/>
    <dgm:cxn modelId="{45A2A979-733A-4D6B-927D-2C9E190D6EA3}" type="presParOf" srcId="{C29BD979-117A-4098-82FD-CF9E1B668D9D}" destId="{A6CEB835-8B0C-4E1D-9DF6-36136D68911F}" srcOrd="0" destOrd="0" presId="urn:microsoft.com/office/officeart/2005/8/layout/hList9"/>
    <dgm:cxn modelId="{291241E1-EED5-4A3E-8ABE-5902A59B4635}" type="presParOf" srcId="{C29BD979-117A-4098-82FD-CF9E1B668D9D}" destId="{43FC3AB4-C3DD-4D28-BDA2-12470C5C44D6}" srcOrd="1" destOrd="0" presId="urn:microsoft.com/office/officeart/2005/8/layout/hList9"/>
    <dgm:cxn modelId="{2FBEEB23-7674-4535-B02A-7CD6538A87BC}" type="presParOf" srcId="{43FC3AB4-C3DD-4D28-BDA2-12470C5C44D6}" destId="{53641B60-3D2A-48DF-8978-B44702B50950}" srcOrd="0" destOrd="0" presId="urn:microsoft.com/office/officeart/2005/8/layout/hList9"/>
    <dgm:cxn modelId="{018945E2-6CDF-46A4-8E1F-F15C15DE643A}" type="presParOf" srcId="{43FC3AB4-C3DD-4D28-BDA2-12470C5C44D6}" destId="{A37BC357-048C-4C8A-9C7C-39AAB06E79AE}" srcOrd="1" destOrd="0" presId="urn:microsoft.com/office/officeart/2005/8/layout/hList9"/>
    <dgm:cxn modelId="{BDC41CAA-FEB1-4C82-9B4D-33E63F2567AA}" type="presParOf" srcId="{E62352AE-7A92-409B-A693-FF5F5F371E72}" destId="{8196E043-9A47-465E-9AB6-9778260CB821}" srcOrd="7" destOrd="0" presId="urn:microsoft.com/office/officeart/2005/8/layout/hList9"/>
    <dgm:cxn modelId="{43555A8A-6D1B-4907-85DA-E985EC8E1BAA}"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2764,46km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7,30</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7C94CA-C5B9-4F90-A8F3-91DFC45E8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24</Pages>
  <Words>1729</Words>
  <Characters>9512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Caracterización territorial de (CEDER MONEGROS)</vt:lpstr>
    </vt:vector>
  </TitlesOfParts>
  <Company/>
  <LinksUpToDate>false</LinksUpToDate>
  <CharactersWithSpaces>11219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Los Monegros. Monegros-Centro de Desarrollo (Ceder Monegros)</dc:title>
  <dc:subject/>
  <dc:creator>miriam escorza torrijos</dc:creator>
  <cp:keywords/>
  <dc:description/>
  <cp:lastModifiedBy>miriam escorza torrijos</cp:lastModifiedBy>
  <cp:revision>185</cp:revision>
  <dcterms:created xsi:type="dcterms:W3CDTF">2014-12-16T11:01:00Z</dcterms:created>
  <dcterms:modified xsi:type="dcterms:W3CDTF">2015-02-19T10:20:00Z</dcterms:modified>
</cp:coreProperties>
</file>