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4B851E3C" wp14:editId="4CE5D337">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5047FE" w:rsidRDefault="005047FE" w:rsidP="00DA6CCE">
          <w:pPr>
            <w:jc w:val="both"/>
            <w:rPr>
              <w:b/>
              <w:color w:val="FFFFFF" w:themeColor="background1"/>
              <w:sz w:val="32"/>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27E4C2A5" wp14:editId="0E0BE95E">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8683B" w:rsidRDefault="0008683B" w:rsidP="000868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" fillcolor="#5f497a [2407]" stroked="f" strokeweight="2pt">
                    <v:textbox>
                      <w:txbxContent>
                        <w:p w:rsidR="0008683B" w:rsidRDefault="0008683B" w:rsidP="0008683B">
                          <w:pPr>
                            <w:jc w:val="center"/>
                          </w:pPr>
                        </w:p>
                      </w:txbxContent>
                    </v:textbox>
                  </v:rect>
                </w:pict>
              </mc:Fallback>
            </mc:AlternateContent>
          </w:r>
        </w:p>
        <w:sdt>
          <w:sdtPr>
            <w:rPr>
              <w:b/>
              <w:color w:val="FFFFFF" w:themeColor="background1"/>
              <w:sz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08683B" w:rsidRDefault="0008683B" w:rsidP="00F36D27">
              <w:pPr>
                <w:jc w:val="center"/>
                <w:rPr>
                  <w:b/>
                  <w:color w:val="FFFFFF" w:themeColor="background1"/>
                  <w:sz w:val="44"/>
                  <w:szCs w:val="32"/>
                </w:rPr>
              </w:pPr>
              <w:r w:rsidRPr="0008683B">
                <w:rPr>
                  <w:b/>
                  <w:color w:val="FFFFFF" w:themeColor="background1"/>
                  <w:sz w:val="32"/>
                </w:rPr>
                <w:t>Caracterización territorial de Zona Oriental de Huesca. Bajo Cinca-Cinca Medio-La Litera (Ceder Zona Oriental de Huesca)</w:t>
              </w:r>
            </w:p>
          </w:sdtContent>
        </w:sdt>
        <w:p w:rsidR="005047FE" w:rsidRDefault="005047FE" w:rsidP="00DA6CCE">
          <w:pPr>
            <w:jc w:val="both"/>
            <w:rPr>
              <w:b/>
              <w:color w:val="000000" w:themeColor="text1"/>
              <w:sz w:val="32"/>
              <w:szCs w:val="32"/>
            </w:rPr>
          </w:pPr>
        </w:p>
        <w:p w:rsidR="005047FE" w:rsidRDefault="008F1315" w:rsidP="0008683B">
          <w:pPr>
            <w:tabs>
              <w:tab w:val="left" w:pos="1984"/>
              <w:tab w:val="left" w:pos="3080"/>
            </w:tabs>
            <w:jc w:val="both"/>
            <w:rPr>
              <w:b/>
              <w:color w:val="000000" w:themeColor="text1"/>
              <w:sz w:val="32"/>
              <w:szCs w:val="32"/>
            </w:rPr>
          </w:pPr>
          <w:r>
            <w:rPr>
              <w:b/>
              <w:color w:val="000000" w:themeColor="text1"/>
              <w:sz w:val="32"/>
              <w:szCs w:val="32"/>
            </w:rPr>
            <w:tab/>
          </w:r>
          <w:r w:rsidR="0008683B">
            <w:rPr>
              <w:b/>
              <w:color w:val="000000" w:themeColor="text1"/>
              <w:sz w:val="32"/>
              <w:szCs w:val="32"/>
            </w:rPr>
            <w:tab/>
          </w:r>
        </w:p>
        <w:p w:rsidR="0008683B" w:rsidRPr="005047FE" w:rsidRDefault="0008683B" w:rsidP="0008683B">
          <w:pPr>
            <w:tabs>
              <w:tab w:val="left" w:pos="1984"/>
              <w:tab w:val="left" w:pos="3080"/>
            </w:tabs>
            <w:jc w:val="both"/>
            <w:rPr>
              <w:b/>
              <w:color w:val="000000" w:themeColor="text1"/>
              <w:sz w:val="32"/>
              <w:szCs w:val="32"/>
            </w:rPr>
          </w:pPr>
        </w:p>
        <w:p w:rsidR="005047FE" w:rsidRDefault="0008683B" w:rsidP="0008683B">
          <w:pPr>
            <w:jc w:val="center"/>
            <w:rPr>
              <w:noProof/>
              <w:lang w:eastAsia="es-ES"/>
            </w:rPr>
          </w:pPr>
          <w:r>
            <w:rPr>
              <w:noProof/>
              <w:lang w:eastAsia="es-ES"/>
            </w:rPr>
            <w:drawing>
              <wp:inline distT="0" distB="0" distL="0" distR="0" wp14:anchorId="6B8E7E69" wp14:editId="54946D11">
                <wp:extent cx="3124200" cy="5398686"/>
                <wp:effectExtent l="0" t="0" r="0" b="0"/>
                <wp:docPr id="15" name="Imagen 15" descr="http://aragonrural.org/wp-content/uploads/2010/07/mapa-huesca-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ragonrural.org/wp-content/uploads/2010/07/mapa-huesca-o.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5398686"/>
                        </a:xfrm>
                        <a:prstGeom prst="rect">
                          <a:avLst/>
                        </a:prstGeom>
                        <a:noFill/>
                        <a:ln>
                          <a:noFill/>
                        </a:ln>
                      </pic:spPr>
                    </pic:pic>
                  </a:graphicData>
                </a:graphic>
              </wp:inline>
            </w:drawing>
          </w:r>
        </w:p>
        <w:p w:rsidR="005B7974" w:rsidRDefault="005B7974" w:rsidP="00DA6CCE">
          <w:pPr>
            <w:jc w:val="both"/>
            <w:rPr>
              <w:noProof/>
              <w:lang w:eastAsia="es-ES"/>
            </w:rPr>
          </w:pPr>
        </w:p>
        <w:tbl>
          <w:tblPr>
            <w:tblpPr w:leftFromText="187" w:rightFromText="187" w:vertAnchor="page" w:horzAnchor="margin" w:tblpY="15201"/>
            <w:tblOverlap w:val="never"/>
            <w:tblW w:w="0" w:type="auto"/>
            <w:tblLook w:val="04A0" w:firstRow="1" w:lastRow="0" w:firstColumn="1" w:lastColumn="0" w:noHBand="0" w:noVBand="1"/>
          </w:tblPr>
          <w:tblGrid>
            <w:gridCol w:w="8720"/>
          </w:tblGrid>
          <w:tr w:rsidR="0008683B" w:rsidTr="0008683B">
            <w:trPr>
              <w:trHeight w:val="360"/>
            </w:trPr>
            <w:tc>
              <w:tcPr>
                <w:tcW w:w="8720" w:type="dxa"/>
              </w:tcPr>
              <w:p w:rsidR="0008683B" w:rsidRPr="005047FE" w:rsidRDefault="0008683B" w:rsidP="0008683B">
                <w:pPr>
                  <w:pStyle w:val="Sinespaciado"/>
                  <w:jc w:val="both"/>
                  <w:rPr>
                    <w:b/>
                    <w:color w:val="000000" w:themeColor="text1"/>
                    <w:sz w:val="32"/>
                    <w:szCs w:val="32"/>
                  </w:rPr>
                </w:pPr>
                <w:r w:rsidRPr="005047FE">
                  <w:rPr>
                    <w:b/>
                    <w:color w:val="000000" w:themeColor="text1"/>
                    <w:sz w:val="32"/>
                    <w:szCs w:val="32"/>
                  </w:rPr>
                  <w:t>RADR</w:t>
                </w:r>
              </w:p>
            </w:tc>
          </w:tr>
        </w:tbl>
        <w:p w:rsidR="00974B32" w:rsidRDefault="00974B32" w:rsidP="00DA6CCE">
          <w:pPr>
            <w:jc w:val="both"/>
            <w:rPr>
              <w:noProof/>
              <w:lang w:eastAsia="es-ES"/>
            </w:rPr>
          </w:pPr>
        </w:p>
        <w:p w:rsidR="00425194" w:rsidRDefault="008F1315"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7A04822D" wp14:editId="1A03000C">
                    <wp:simplePos x="0" y="0"/>
                    <wp:positionH relativeFrom="column">
                      <wp:posOffset>-198755</wp:posOffset>
                    </wp:positionH>
                    <wp:positionV relativeFrom="paragraph">
                      <wp:posOffset>-38100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15.65pt;margin-top:-3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8F1315" w:rsidRDefault="008F1315"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00257E0B" wp14:editId="39610985">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82A0A" w:rsidRDefault="00482A0A" w:rsidP="00DA6CCE">
          <w:pPr>
            <w:jc w:val="both"/>
            <w:rPr>
              <w:noProof/>
              <w:lang w:eastAsia="es-ES"/>
            </w:rPr>
          </w:pPr>
        </w:p>
        <w:tbl>
          <w:tblPr>
            <w:tblStyle w:val="Sombreadomedio1-nfasis4"/>
            <w:tblW w:w="9055" w:type="dxa"/>
            <w:tblLook w:val="04A0" w:firstRow="1" w:lastRow="0" w:firstColumn="1" w:lastColumn="0" w:noHBand="0" w:noVBand="1"/>
          </w:tblPr>
          <w:tblGrid>
            <w:gridCol w:w="3026"/>
            <w:gridCol w:w="1733"/>
            <w:gridCol w:w="1465"/>
            <w:gridCol w:w="1366"/>
            <w:gridCol w:w="1465"/>
          </w:tblGrid>
          <w:tr w:rsidR="00046D44" w:rsidRPr="00046D44" w:rsidTr="00046D44">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026" w:type="dxa"/>
                <w:noWrap/>
                <w:hideMark/>
              </w:tcPr>
              <w:p w:rsidR="00046D44" w:rsidRPr="00046D44" w:rsidRDefault="00046D44" w:rsidP="00046D44">
                <w:pPr>
                  <w:jc w:val="center"/>
                  <w:rPr>
                    <w:rFonts w:eastAsia="Times New Roman" w:cs="Times New Roman"/>
                    <w:sz w:val="20"/>
                    <w:szCs w:val="20"/>
                    <w:lang w:eastAsia="es-ES"/>
                  </w:rPr>
                </w:pPr>
                <w:r w:rsidRPr="00046D44">
                  <w:rPr>
                    <w:rFonts w:eastAsia="Times New Roman" w:cs="Times New Roman"/>
                    <w:sz w:val="20"/>
                    <w:szCs w:val="20"/>
                    <w:lang w:eastAsia="es-ES"/>
                  </w:rPr>
                  <w:t>GRUPO</w:t>
                </w:r>
              </w:p>
            </w:tc>
            <w:tc>
              <w:tcPr>
                <w:tcW w:w="1733" w:type="dxa"/>
                <w:noWrap/>
                <w:hideMark/>
              </w:tcPr>
              <w:p w:rsidR="00046D44" w:rsidRPr="00046D44" w:rsidRDefault="00046D44" w:rsidP="00046D44">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CEDER ORIENTAL HUESC</w:t>
                </w:r>
              </w:p>
            </w:tc>
            <w:tc>
              <w:tcPr>
                <w:tcW w:w="1465" w:type="dxa"/>
                <w:noWrap/>
                <w:hideMark/>
              </w:tcPr>
              <w:p w:rsidR="00046D44" w:rsidRPr="00046D44" w:rsidRDefault="00046D44" w:rsidP="00046D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366" w:type="dxa"/>
                <w:noWrap/>
                <w:hideMark/>
              </w:tcPr>
              <w:p w:rsidR="00046D44" w:rsidRPr="00046D44" w:rsidRDefault="00046D44" w:rsidP="00046D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465" w:type="dxa"/>
                <w:noWrap/>
                <w:hideMark/>
              </w:tcPr>
              <w:p w:rsidR="00046D44" w:rsidRPr="00046D44" w:rsidRDefault="00046D44" w:rsidP="00046D4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r>
          <w:tr w:rsidR="00046D44" w:rsidRPr="00046D44" w:rsidTr="00046D4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026" w:type="dxa"/>
                <w:vMerge w:val="restart"/>
                <w:hideMark/>
              </w:tcPr>
              <w:p w:rsidR="00046D44" w:rsidRPr="00046D44" w:rsidRDefault="00046D44" w:rsidP="00046D44">
                <w:pPr>
                  <w:jc w:val="center"/>
                  <w:rPr>
                    <w:rFonts w:eastAsia="Times New Roman" w:cs="Times New Roman"/>
                    <w:sz w:val="20"/>
                    <w:szCs w:val="20"/>
                    <w:lang w:eastAsia="es-ES"/>
                  </w:rPr>
                </w:pPr>
                <w:r w:rsidRPr="00046D44">
                  <w:rPr>
                    <w:rFonts w:eastAsia="Times New Roman" w:cs="Times New Roman"/>
                    <w:sz w:val="20"/>
                    <w:szCs w:val="20"/>
                    <w:lang w:eastAsia="es-ES"/>
                  </w:rPr>
                  <w:t>Clasificación zona</w:t>
                </w:r>
              </w:p>
            </w:tc>
            <w:tc>
              <w:tcPr>
                <w:tcW w:w="3197" w:type="dxa"/>
                <w:gridSpan w:val="2"/>
                <w:noWrap/>
                <w:hideMark/>
              </w:tcPr>
              <w:p w:rsidR="00046D44" w:rsidRPr="00046D44" w:rsidRDefault="00046D44" w:rsidP="00046D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046D44">
                  <w:rPr>
                    <w:rFonts w:eastAsia="Times New Roman" w:cs="Times New Roman"/>
                    <w:b/>
                    <w:bCs/>
                    <w:sz w:val="20"/>
                    <w:szCs w:val="20"/>
                    <w:lang w:eastAsia="es-ES"/>
                  </w:rPr>
                  <w:t>Población</w:t>
                </w:r>
              </w:p>
            </w:tc>
            <w:tc>
              <w:tcPr>
                <w:tcW w:w="2831" w:type="dxa"/>
                <w:gridSpan w:val="2"/>
                <w:noWrap/>
                <w:hideMark/>
              </w:tcPr>
              <w:p w:rsidR="00046D44" w:rsidRPr="00046D44" w:rsidRDefault="00046D44" w:rsidP="00046D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046D44">
                  <w:rPr>
                    <w:rFonts w:eastAsia="Times New Roman" w:cs="Times New Roman"/>
                    <w:b/>
                    <w:bCs/>
                    <w:sz w:val="20"/>
                    <w:szCs w:val="20"/>
                    <w:lang w:eastAsia="es-ES"/>
                  </w:rPr>
                  <w:t>Localidades</w:t>
                </w:r>
              </w:p>
            </w:tc>
          </w:tr>
          <w:tr w:rsidR="00046D44" w:rsidRPr="00046D44" w:rsidTr="00046D44">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026" w:type="dxa"/>
                <w:vMerge/>
                <w:hideMark/>
              </w:tcPr>
              <w:p w:rsidR="00046D44" w:rsidRPr="00046D44" w:rsidRDefault="00046D44" w:rsidP="00046D44">
                <w:pPr>
                  <w:rPr>
                    <w:rFonts w:eastAsia="Times New Roman" w:cs="Times New Roman"/>
                    <w:sz w:val="20"/>
                    <w:szCs w:val="20"/>
                    <w:lang w:eastAsia="es-ES"/>
                  </w:rPr>
                </w:pPr>
              </w:p>
            </w:tc>
            <w:tc>
              <w:tcPr>
                <w:tcW w:w="1733"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046D44">
                  <w:rPr>
                    <w:rFonts w:eastAsia="Times New Roman" w:cs="Times New Roman"/>
                    <w:b/>
                    <w:bCs/>
                    <w:sz w:val="20"/>
                    <w:szCs w:val="20"/>
                    <w:lang w:eastAsia="es-ES"/>
                  </w:rPr>
                  <w:t>Nº</w:t>
                </w:r>
              </w:p>
            </w:tc>
            <w:tc>
              <w:tcPr>
                <w:tcW w:w="1465"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046D44">
                  <w:rPr>
                    <w:rFonts w:eastAsia="Times New Roman" w:cs="Times New Roman"/>
                    <w:b/>
                    <w:bCs/>
                    <w:sz w:val="20"/>
                    <w:szCs w:val="20"/>
                    <w:lang w:eastAsia="es-ES"/>
                  </w:rPr>
                  <w:t>%</w:t>
                </w:r>
              </w:p>
            </w:tc>
            <w:tc>
              <w:tcPr>
                <w:tcW w:w="1366"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046D44">
                  <w:rPr>
                    <w:rFonts w:eastAsia="Times New Roman" w:cs="Times New Roman"/>
                    <w:b/>
                    <w:bCs/>
                    <w:sz w:val="20"/>
                    <w:szCs w:val="20"/>
                    <w:lang w:eastAsia="es-ES"/>
                  </w:rPr>
                  <w:t>Nº</w:t>
                </w:r>
              </w:p>
            </w:tc>
            <w:tc>
              <w:tcPr>
                <w:tcW w:w="1465"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046D44">
                  <w:rPr>
                    <w:rFonts w:eastAsia="Times New Roman" w:cs="Times New Roman"/>
                    <w:b/>
                    <w:bCs/>
                    <w:sz w:val="20"/>
                    <w:szCs w:val="20"/>
                    <w:lang w:eastAsia="es-ES"/>
                  </w:rPr>
                  <w:t>%</w:t>
                </w:r>
              </w:p>
            </w:tc>
          </w:tr>
          <w:tr w:rsidR="00046D44" w:rsidRPr="00046D44" w:rsidTr="00046D4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026" w:type="dxa"/>
                <w:noWrap/>
                <w:hideMark/>
              </w:tcPr>
              <w:p w:rsidR="00046D44" w:rsidRPr="00046D44" w:rsidRDefault="00046D44" w:rsidP="00046D44">
                <w:pPr>
                  <w:jc w:val="center"/>
                  <w:rPr>
                    <w:rFonts w:eastAsia="Times New Roman" w:cs="Times New Roman"/>
                    <w:sz w:val="20"/>
                    <w:szCs w:val="20"/>
                    <w:lang w:eastAsia="es-ES"/>
                  </w:rPr>
                </w:pPr>
                <w:r w:rsidRPr="00046D44">
                  <w:rPr>
                    <w:rFonts w:eastAsia="Times New Roman" w:cs="Times New Roman"/>
                    <w:sz w:val="20"/>
                    <w:szCs w:val="20"/>
                    <w:lang w:eastAsia="es-ES"/>
                  </w:rPr>
                  <w:t>Zona rural (&lt;2000)</w:t>
                </w:r>
              </w:p>
            </w:tc>
            <w:tc>
              <w:tcPr>
                <w:tcW w:w="1733" w:type="dxa"/>
                <w:noWrap/>
                <w:hideMark/>
              </w:tcPr>
              <w:p w:rsidR="00046D44" w:rsidRPr="00046D44" w:rsidRDefault="00046D44" w:rsidP="00046D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20176</w:t>
                </w:r>
              </w:p>
            </w:tc>
            <w:tc>
              <w:tcPr>
                <w:tcW w:w="1465" w:type="dxa"/>
                <w:noWrap/>
                <w:hideMark/>
              </w:tcPr>
              <w:p w:rsidR="00046D44" w:rsidRPr="00046D44" w:rsidRDefault="00046D44" w:rsidP="00046D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29,74%</w:t>
                </w:r>
              </w:p>
            </w:tc>
            <w:tc>
              <w:tcPr>
                <w:tcW w:w="1366" w:type="dxa"/>
                <w:noWrap/>
                <w:hideMark/>
              </w:tcPr>
              <w:p w:rsidR="00046D44" w:rsidRPr="00046D44" w:rsidRDefault="00046D44" w:rsidP="00046D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29</w:t>
                </w:r>
              </w:p>
            </w:tc>
            <w:tc>
              <w:tcPr>
                <w:tcW w:w="1465" w:type="dxa"/>
                <w:noWrap/>
                <w:hideMark/>
              </w:tcPr>
              <w:p w:rsidR="00046D44" w:rsidRPr="00046D44" w:rsidRDefault="00046D44" w:rsidP="00046D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85,29%</w:t>
                </w:r>
              </w:p>
            </w:tc>
          </w:tr>
          <w:tr w:rsidR="00046D44" w:rsidRPr="00046D44" w:rsidTr="00046D44">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026" w:type="dxa"/>
                <w:noWrap/>
                <w:hideMark/>
              </w:tcPr>
              <w:p w:rsidR="00046D44" w:rsidRPr="00046D44" w:rsidRDefault="00046D44" w:rsidP="00046D44">
                <w:pPr>
                  <w:jc w:val="center"/>
                  <w:rPr>
                    <w:rFonts w:eastAsia="Times New Roman" w:cs="Times New Roman"/>
                    <w:sz w:val="20"/>
                    <w:szCs w:val="20"/>
                    <w:lang w:eastAsia="es-ES"/>
                  </w:rPr>
                </w:pPr>
                <w:r w:rsidRPr="00046D44">
                  <w:rPr>
                    <w:rFonts w:eastAsia="Times New Roman" w:cs="Times New Roman"/>
                    <w:sz w:val="20"/>
                    <w:szCs w:val="20"/>
                    <w:lang w:eastAsia="es-ES"/>
                  </w:rPr>
                  <w:t>Zona intermedia (&lt; 10000)</w:t>
                </w:r>
              </w:p>
            </w:tc>
            <w:tc>
              <w:tcPr>
                <w:tcW w:w="1733"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15530</w:t>
                </w:r>
              </w:p>
            </w:tc>
            <w:tc>
              <w:tcPr>
                <w:tcW w:w="1465"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22,90%</w:t>
                </w:r>
              </w:p>
            </w:tc>
            <w:tc>
              <w:tcPr>
                <w:tcW w:w="1366"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3</w:t>
                </w:r>
              </w:p>
            </w:tc>
            <w:tc>
              <w:tcPr>
                <w:tcW w:w="1465"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8,82%</w:t>
                </w:r>
              </w:p>
            </w:tc>
          </w:tr>
          <w:tr w:rsidR="00046D44" w:rsidRPr="00046D44" w:rsidTr="00046D44">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026" w:type="dxa"/>
                <w:noWrap/>
                <w:hideMark/>
              </w:tcPr>
              <w:p w:rsidR="00046D44" w:rsidRPr="00046D44" w:rsidRDefault="00046D44" w:rsidP="00046D44">
                <w:pPr>
                  <w:jc w:val="center"/>
                  <w:rPr>
                    <w:rFonts w:eastAsia="Times New Roman" w:cs="Times New Roman"/>
                    <w:sz w:val="20"/>
                    <w:szCs w:val="20"/>
                    <w:lang w:eastAsia="es-ES"/>
                  </w:rPr>
                </w:pPr>
                <w:r w:rsidRPr="00046D44">
                  <w:rPr>
                    <w:rFonts w:eastAsia="Times New Roman" w:cs="Times New Roman"/>
                    <w:sz w:val="20"/>
                    <w:szCs w:val="20"/>
                    <w:lang w:eastAsia="es-ES"/>
                  </w:rPr>
                  <w:t>Zona urbana (&gt; 10000)</w:t>
                </w:r>
              </w:p>
            </w:tc>
            <w:tc>
              <w:tcPr>
                <w:tcW w:w="1733" w:type="dxa"/>
                <w:noWrap/>
                <w:hideMark/>
              </w:tcPr>
              <w:p w:rsidR="00046D44" w:rsidRPr="00046D44" w:rsidRDefault="00046D44" w:rsidP="00046D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32124</w:t>
                </w:r>
              </w:p>
            </w:tc>
            <w:tc>
              <w:tcPr>
                <w:tcW w:w="1465" w:type="dxa"/>
                <w:noWrap/>
                <w:hideMark/>
              </w:tcPr>
              <w:p w:rsidR="00046D44" w:rsidRPr="00046D44" w:rsidRDefault="00046D44" w:rsidP="00046D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47,36%</w:t>
                </w:r>
              </w:p>
            </w:tc>
            <w:tc>
              <w:tcPr>
                <w:tcW w:w="1366" w:type="dxa"/>
                <w:noWrap/>
                <w:hideMark/>
              </w:tcPr>
              <w:p w:rsidR="00046D44" w:rsidRPr="00046D44" w:rsidRDefault="00046D44" w:rsidP="00046D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2</w:t>
                </w:r>
              </w:p>
            </w:tc>
            <w:tc>
              <w:tcPr>
                <w:tcW w:w="1465" w:type="dxa"/>
                <w:noWrap/>
                <w:hideMark/>
              </w:tcPr>
              <w:p w:rsidR="00046D44" w:rsidRPr="00046D44" w:rsidRDefault="00046D44" w:rsidP="00046D4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5,88%</w:t>
                </w:r>
              </w:p>
            </w:tc>
          </w:tr>
          <w:tr w:rsidR="00046D44" w:rsidRPr="00046D44" w:rsidTr="00046D44">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026" w:type="dxa"/>
                <w:noWrap/>
                <w:hideMark/>
              </w:tcPr>
              <w:p w:rsidR="00046D44" w:rsidRPr="00046D44" w:rsidRDefault="00046D44" w:rsidP="00046D44">
                <w:pPr>
                  <w:jc w:val="center"/>
                  <w:rPr>
                    <w:rFonts w:eastAsia="Times New Roman" w:cs="Times New Roman"/>
                    <w:sz w:val="20"/>
                    <w:szCs w:val="20"/>
                    <w:lang w:eastAsia="es-ES"/>
                  </w:rPr>
                </w:pPr>
                <w:r w:rsidRPr="00046D44">
                  <w:rPr>
                    <w:rFonts w:eastAsia="Times New Roman" w:cs="Times New Roman"/>
                    <w:sz w:val="20"/>
                    <w:szCs w:val="20"/>
                    <w:lang w:eastAsia="es-ES"/>
                  </w:rPr>
                  <w:t>Total</w:t>
                </w:r>
              </w:p>
            </w:tc>
            <w:tc>
              <w:tcPr>
                <w:tcW w:w="1733"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67830</w:t>
                </w:r>
              </w:p>
            </w:tc>
            <w:tc>
              <w:tcPr>
                <w:tcW w:w="1465"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100,00%</w:t>
                </w:r>
              </w:p>
            </w:tc>
            <w:tc>
              <w:tcPr>
                <w:tcW w:w="1366"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34</w:t>
                </w:r>
              </w:p>
            </w:tc>
            <w:tc>
              <w:tcPr>
                <w:tcW w:w="1465" w:type="dxa"/>
                <w:noWrap/>
                <w:hideMark/>
              </w:tcPr>
              <w:p w:rsidR="00046D44" w:rsidRPr="00046D44" w:rsidRDefault="00046D44" w:rsidP="00046D44">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046D44">
                  <w:rPr>
                    <w:rFonts w:eastAsia="Times New Roman"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047FE" w:rsidRDefault="00046D44" w:rsidP="00482A0A">
          <w:pPr>
            <w:pStyle w:val="Prrafodelista"/>
            <w:ind w:left="284"/>
            <w:jc w:val="both"/>
            <w:rPr>
              <w:noProof/>
              <w:lang w:eastAsia="es-ES"/>
            </w:rPr>
          </w:pPr>
          <w:r>
            <w:rPr>
              <w:noProof/>
              <w:lang w:eastAsia="es-ES"/>
            </w:rPr>
            <w:drawing>
              <wp:inline distT="0" distB="0" distL="0" distR="0" wp14:anchorId="5AB6FC86" wp14:editId="3902744D">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22AC" w:rsidRDefault="008222AC" w:rsidP="00DA6CCE">
          <w:pPr>
            <w:jc w:val="both"/>
            <w:rPr>
              <w:noProof/>
              <w:lang w:eastAsia="es-ES"/>
            </w:rPr>
          </w:pPr>
        </w:p>
        <w:p w:rsidR="001B65A0" w:rsidRDefault="001B65A0"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046D44" w:rsidP="00DC45B6">
          <w:pPr>
            <w:pStyle w:val="Prrafodelista"/>
            <w:ind w:left="426"/>
            <w:jc w:val="center"/>
            <w:rPr>
              <w:b/>
              <w:sz w:val="24"/>
              <w:szCs w:val="24"/>
            </w:rPr>
          </w:pPr>
          <w:r>
            <w:rPr>
              <w:noProof/>
              <w:lang w:eastAsia="es-ES"/>
            </w:rPr>
            <w:drawing>
              <wp:inline distT="0" distB="0" distL="0" distR="0" wp14:anchorId="2E347CB9" wp14:editId="2EA19B60">
                <wp:extent cx="5405120" cy="3027680"/>
                <wp:effectExtent l="0" t="0" r="24130" b="2032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482A0A" w:rsidRDefault="00482A0A" w:rsidP="00482A0A">
          <w:pPr>
            <w:pStyle w:val="Prrafodelista"/>
            <w:jc w:val="both"/>
            <w:rPr>
              <w:sz w:val="24"/>
              <w:szCs w:val="24"/>
            </w:rPr>
          </w:pPr>
        </w:p>
        <w:p w:rsidR="00533C22" w:rsidRDefault="00046D44" w:rsidP="0026445A">
          <w:pPr>
            <w:pStyle w:val="Prrafodelista"/>
            <w:ind w:left="567"/>
            <w:rPr>
              <w:sz w:val="24"/>
              <w:szCs w:val="24"/>
            </w:rPr>
          </w:pPr>
          <w:r w:rsidRPr="00046D44">
            <w:rPr>
              <w:noProof/>
              <w:lang w:eastAsia="es-ES"/>
            </w:rPr>
            <w:drawing>
              <wp:inline distT="0" distB="0" distL="0" distR="0" wp14:anchorId="08D2875F" wp14:editId="0FA004A8">
                <wp:extent cx="5608320" cy="1330960"/>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601" cy="1332213"/>
                        </a:xfrm>
                        <a:prstGeom prst="rect">
                          <a:avLst/>
                        </a:prstGeom>
                        <a:noFill/>
                        <a:ln>
                          <a:noFill/>
                        </a:ln>
                      </pic:spPr>
                    </pic:pic>
                  </a:graphicData>
                </a:graphic>
              </wp:inline>
            </w:drawing>
          </w:r>
        </w:p>
        <w:p w:rsidR="00A33934" w:rsidRPr="00A33934" w:rsidRDefault="00A33934" w:rsidP="00A33934">
          <w:pPr>
            <w:pStyle w:val="Prrafodelista"/>
            <w:jc w:val="both"/>
            <w:rPr>
              <w:sz w:val="24"/>
              <w:szCs w:val="24"/>
            </w:rPr>
          </w:pPr>
        </w:p>
        <w:p w:rsidR="00533C22"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A33934" w:rsidRPr="00FA17CC" w:rsidRDefault="00A33934" w:rsidP="00A33934">
          <w:pPr>
            <w:pStyle w:val="Prrafodelista"/>
            <w:jc w:val="both"/>
            <w:rPr>
              <w:sz w:val="24"/>
              <w:szCs w:val="24"/>
            </w:rPr>
          </w:pPr>
        </w:p>
        <w:p w:rsidR="00533C22" w:rsidRDefault="00046D44" w:rsidP="00CE7FA3">
          <w:pPr>
            <w:pStyle w:val="Prrafodelista"/>
            <w:ind w:left="567"/>
            <w:jc w:val="both"/>
            <w:rPr>
              <w:sz w:val="24"/>
              <w:szCs w:val="24"/>
            </w:rPr>
          </w:pPr>
          <w:r w:rsidRPr="00046D44">
            <w:rPr>
              <w:noProof/>
              <w:lang w:eastAsia="es-ES"/>
            </w:rPr>
            <w:drawing>
              <wp:inline distT="0" distB="0" distL="0" distR="0" wp14:anchorId="08DF5CE7" wp14:editId="7BFBC269">
                <wp:extent cx="5608320" cy="14020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602" cy="1403401"/>
                        </a:xfrm>
                        <a:prstGeom prst="rect">
                          <a:avLst/>
                        </a:prstGeom>
                        <a:noFill/>
                        <a:ln>
                          <a:noFill/>
                        </a:ln>
                      </pic:spPr>
                    </pic:pic>
                  </a:graphicData>
                </a:graphic>
              </wp:inline>
            </w:drawing>
          </w:r>
        </w:p>
        <w:p w:rsidR="00482A0A" w:rsidRPr="0092710E" w:rsidRDefault="00482A0A"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326571" w:rsidP="00DA6CCE">
          <w:pPr>
            <w:pStyle w:val="Prrafodelista"/>
            <w:ind w:left="426"/>
            <w:jc w:val="both"/>
          </w:pPr>
          <w:r w:rsidRPr="00326571">
            <w:rPr>
              <w:noProof/>
              <w:lang w:eastAsia="es-ES"/>
            </w:rPr>
            <w:drawing>
              <wp:inline distT="0" distB="0" distL="0" distR="0" wp14:anchorId="045E34B4" wp14:editId="2D1888ED">
                <wp:extent cx="5689600" cy="447040"/>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396" cy="450324"/>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326571" w:rsidP="00DA6CCE">
          <w:pPr>
            <w:pStyle w:val="Prrafodelista"/>
            <w:ind w:left="426"/>
            <w:jc w:val="both"/>
            <w:rPr>
              <w:b/>
              <w:sz w:val="24"/>
              <w:szCs w:val="24"/>
            </w:rPr>
          </w:pPr>
          <w:r w:rsidRPr="00326571">
            <w:rPr>
              <w:noProof/>
              <w:lang w:eastAsia="es-ES"/>
            </w:rPr>
            <w:drawing>
              <wp:inline distT="0" distB="0" distL="0" distR="0" wp14:anchorId="2149B408" wp14:editId="238C58C5">
                <wp:extent cx="5689600" cy="426720"/>
                <wp:effectExtent l="0" t="0" r="635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387" cy="429854"/>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326571" w:rsidP="00DA6CCE">
          <w:pPr>
            <w:pStyle w:val="Prrafodelista"/>
            <w:ind w:left="426"/>
            <w:jc w:val="both"/>
            <w:rPr>
              <w:b/>
              <w:sz w:val="24"/>
              <w:szCs w:val="24"/>
            </w:rPr>
          </w:pPr>
          <w:r w:rsidRPr="00326571">
            <w:rPr>
              <w:noProof/>
              <w:lang w:eastAsia="es-ES"/>
            </w:rPr>
            <w:drawing>
              <wp:inline distT="0" distB="0" distL="0" distR="0" wp14:anchorId="5A364A71" wp14:editId="6FD2B8D3">
                <wp:extent cx="5689600" cy="44704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396" cy="450324"/>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326571" w:rsidP="00FA17CC">
          <w:pPr>
            <w:pStyle w:val="Prrafodelista"/>
            <w:ind w:hanging="153"/>
            <w:jc w:val="both"/>
            <w:rPr>
              <w:b/>
              <w:sz w:val="24"/>
              <w:szCs w:val="24"/>
            </w:rPr>
          </w:pPr>
          <w:r>
            <w:rPr>
              <w:noProof/>
              <w:lang w:eastAsia="es-ES"/>
            </w:rPr>
            <w:drawing>
              <wp:inline distT="0" distB="0" distL="0" distR="0" wp14:anchorId="02096673" wp14:editId="3DABFD8E">
                <wp:extent cx="5394960" cy="2672080"/>
                <wp:effectExtent l="38100" t="0" r="15240" b="1397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326571" w:rsidP="00FA17CC">
          <w:pPr>
            <w:pStyle w:val="Prrafodelista"/>
            <w:ind w:left="709" w:right="-1" w:hanging="142"/>
            <w:jc w:val="both"/>
            <w:rPr>
              <w:b/>
              <w:sz w:val="24"/>
              <w:szCs w:val="24"/>
            </w:rPr>
          </w:pPr>
          <w:r>
            <w:rPr>
              <w:noProof/>
              <w:lang w:eastAsia="es-ES"/>
            </w:rPr>
            <w:drawing>
              <wp:inline distT="0" distB="0" distL="0" distR="0" wp14:anchorId="0A2AF7C6" wp14:editId="2D70207A">
                <wp:extent cx="5405120" cy="2651760"/>
                <wp:effectExtent l="0" t="0" r="24130" b="1524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BB78C6" w:rsidRDefault="00BB78C6" w:rsidP="00DA6CCE">
          <w:pPr>
            <w:pStyle w:val="Prrafodelista"/>
            <w:ind w:left="567" w:right="-1" w:firstLine="142"/>
            <w:jc w:val="both"/>
            <w:rPr>
              <w:b/>
              <w:sz w:val="24"/>
              <w:szCs w:val="24"/>
            </w:rPr>
          </w:pPr>
        </w:p>
        <w:p w:rsidR="00482A0A" w:rsidRPr="008E7AAF" w:rsidRDefault="00482A0A" w:rsidP="008E7AAF">
          <w:pPr>
            <w:ind w:right="-1"/>
            <w:jc w:val="both"/>
            <w:rPr>
              <w:b/>
              <w:sz w:val="24"/>
              <w:szCs w:val="24"/>
            </w:rPr>
          </w:pPr>
        </w:p>
        <w:p w:rsidR="00906EF5" w:rsidRPr="00DA0DF8" w:rsidRDefault="00906EF5" w:rsidP="00DA6CCE">
          <w:pPr>
            <w:pStyle w:val="Prrafodelista"/>
            <w:numPr>
              <w:ilvl w:val="0"/>
              <w:numId w:val="1"/>
            </w:numPr>
            <w:jc w:val="both"/>
            <w:rPr>
              <w:b/>
              <w:sz w:val="24"/>
              <w:szCs w:val="24"/>
            </w:rPr>
          </w:pPr>
          <w:r w:rsidRPr="00DA0DF8">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BC02FE" w:rsidRPr="00BC02FE" w:rsidTr="00BC02FE">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C02FE" w:rsidRPr="00BC02FE" w:rsidRDefault="00BC02FE" w:rsidP="00BC02FE">
                <w:pPr>
                  <w:jc w:val="center"/>
                  <w:rPr>
                    <w:rFonts w:eastAsia="Times New Roman" w:cs="Times New Roman"/>
                    <w:sz w:val="20"/>
                    <w:szCs w:val="20"/>
                    <w:lang w:eastAsia="es-ES"/>
                  </w:rPr>
                </w:pPr>
                <w:r w:rsidRPr="00BC02FE">
                  <w:rPr>
                    <w:rFonts w:eastAsia="Times New Roman" w:cs="Times New Roman"/>
                    <w:sz w:val="20"/>
                    <w:szCs w:val="20"/>
                    <w:lang w:eastAsia="es-ES"/>
                  </w:rPr>
                  <w:t>Tasa de masculinidad</w:t>
                </w:r>
              </w:p>
            </w:tc>
            <w:tc>
              <w:tcPr>
                <w:tcW w:w="2420" w:type="dxa"/>
                <w:vMerge w:val="restart"/>
                <w:noWrap/>
                <w:hideMark/>
              </w:tcPr>
              <w:p w:rsidR="00BC02FE" w:rsidRPr="00BC02FE" w:rsidRDefault="00BC02FE" w:rsidP="00BC02F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BC02FE">
                  <w:rPr>
                    <w:rFonts w:eastAsia="Times New Roman" w:cs="Times New Roman"/>
                    <w:sz w:val="20"/>
                    <w:szCs w:val="20"/>
                    <w:lang w:eastAsia="es-ES"/>
                  </w:rPr>
                  <w:t>Aragón</w:t>
                </w:r>
              </w:p>
            </w:tc>
            <w:tc>
              <w:tcPr>
                <w:tcW w:w="2800" w:type="dxa"/>
                <w:vMerge w:val="restart"/>
                <w:noWrap/>
                <w:hideMark/>
              </w:tcPr>
              <w:p w:rsidR="00BC02FE" w:rsidRPr="00BC02FE" w:rsidRDefault="00BC02FE" w:rsidP="00BC02F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BC02FE">
                  <w:rPr>
                    <w:rFonts w:eastAsia="Times New Roman" w:cs="Times New Roman"/>
                    <w:sz w:val="20"/>
                    <w:szCs w:val="20"/>
                    <w:lang w:eastAsia="es-ES"/>
                  </w:rPr>
                  <w:t>GAL</w:t>
                </w:r>
              </w:p>
            </w:tc>
          </w:tr>
          <w:tr w:rsidR="00BC02FE" w:rsidRPr="00BC02FE" w:rsidTr="00BC02F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C02FE" w:rsidRPr="00BC02FE" w:rsidRDefault="00BC02FE" w:rsidP="00BC02FE">
                <w:pPr>
                  <w:rPr>
                    <w:rFonts w:eastAsia="Times New Roman" w:cs="Times New Roman"/>
                    <w:sz w:val="20"/>
                    <w:szCs w:val="20"/>
                    <w:lang w:eastAsia="es-ES"/>
                  </w:rPr>
                </w:pPr>
              </w:p>
            </w:tc>
            <w:tc>
              <w:tcPr>
                <w:tcW w:w="2420" w:type="dxa"/>
                <w:vMerge/>
                <w:hideMark/>
              </w:tcPr>
              <w:p w:rsidR="00BC02FE" w:rsidRPr="00BC02FE" w:rsidRDefault="00BC02FE" w:rsidP="00BC02F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BC02FE" w:rsidRPr="00BC02FE" w:rsidRDefault="00BC02FE" w:rsidP="00BC02F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BC02FE" w:rsidRPr="00BC02FE" w:rsidTr="00BC02F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C02FE" w:rsidRPr="00BC02FE" w:rsidRDefault="00BC02FE" w:rsidP="00BC02FE">
                <w:pPr>
                  <w:rPr>
                    <w:rFonts w:eastAsia="Times New Roman" w:cs="Times New Roman"/>
                    <w:sz w:val="20"/>
                    <w:szCs w:val="20"/>
                    <w:lang w:eastAsia="es-ES"/>
                  </w:rPr>
                </w:pPr>
              </w:p>
            </w:tc>
            <w:tc>
              <w:tcPr>
                <w:tcW w:w="242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98,94%</w:t>
                </w:r>
              </w:p>
            </w:tc>
            <w:tc>
              <w:tcPr>
                <w:tcW w:w="280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106,28%</w:t>
                </w:r>
              </w:p>
            </w:tc>
          </w:tr>
          <w:tr w:rsidR="00BC02FE" w:rsidRPr="00BC02FE" w:rsidTr="00BC02FE">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C02FE" w:rsidRPr="00BC02FE" w:rsidRDefault="00BC02FE" w:rsidP="00BC02FE">
                <w:pPr>
                  <w:jc w:val="center"/>
                  <w:rPr>
                    <w:rFonts w:eastAsia="Times New Roman" w:cs="Times New Roman"/>
                    <w:sz w:val="20"/>
                    <w:szCs w:val="20"/>
                    <w:lang w:eastAsia="es-ES"/>
                  </w:rPr>
                </w:pPr>
                <w:r w:rsidRPr="00BC02FE">
                  <w:rPr>
                    <w:rFonts w:eastAsia="Times New Roman" w:cs="Times New Roman"/>
                    <w:sz w:val="20"/>
                    <w:szCs w:val="20"/>
                    <w:lang w:eastAsia="es-ES"/>
                  </w:rPr>
                  <w:t>(número de varones dividido entre número de mujeres</w:t>
                </w:r>
              </w:p>
            </w:tc>
            <w:tc>
              <w:tcPr>
                <w:tcW w:w="242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BC02FE" w:rsidRPr="00BC02FE" w:rsidTr="00BC02F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C02FE" w:rsidRPr="00BC02FE" w:rsidRDefault="00BC02FE" w:rsidP="00BC02FE">
                <w:pPr>
                  <w:jc w:val="center"/>
                  <w:rPr>
                    <w:rFonts w:eastAsia="Times New Roman" w:cs="Times New Roman"/>
                    <w:sz w:val="20"/>
                    <w:szCs w:val="20"/>
                    <w:lang w:eastAsia="es-ES"/>
                  </w:rPr>
                </w:pPr>
              </w:p>
            </w:tc>
            <w:tc>
              <w:tcPr>
                <w:tcW w:w="242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BC02FE" w:rsidRPr="00BC02FE" w:rsidTr="00BC02F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C02FE" w:rsidRPr="00BC02FE" w:rsidRDefault="00BC02FE" w:rsidP="00BC02FE">
                <w:pPr>
                  <w:jc w:val="center"/>
                  <w:rPr>
                    <w:rFonts w:eastAsia="Times New Roman" w:cs="Times New Roman"/>
                    <w:sz w:val="20"/>
                    <w:szCs w:val="20"/>
                    <w:lang w:eastAsia="es-ES"/>
                  </w:rPr>
                </w:pPr>
                <w:r w:rsidRPr="00BC02FE">
                  <w:rPr>
                    <w:rFonts w:eastAsia="Times New Roman" w:cs="Times New Roman"/>
                    <w:sz w:val="20"/>
                    <w:szCs w:val="20"/>
                    <w:lang w:eastAsia="es-ES"/>
                  </w:rPr>
                  <w:t>Índice de maternidad</w:t>
                </w:r>
              </w:p>
            </w:tc>
            <w:tc>
              <w:tcPr>
                <w:tcW w:w="2420" w:type="dxa"/>
                <w:vMerge w:val="restart"/>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Aragón</w:t>
                </w:r>
              </w:p>
            </w:tc>
            <w:tc>
              <w:tcPr>
                <w:tcW w:w="2800" w:type="dxa"/>
                <w:vMerge w:val="restart"/>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GAL</w:t>
                </w:r>
              </w:p>
            </w:tc>
          </w:tr>
          <w:tr w:rsidR="00BC02FE" w:rsidRPr="00BC02FE" w:rsidTr="00BC02F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C02FE" w:rsidRPr="00BC02FE" w:rsidRDefault="00BC02FE" w:rsidP="00BC02FE">
                <w:pPr>
                  <w:rPr>
                    <w:rFonts w:eastAsia="Times New Roman" w:cs="Times New Roman"/>
                    <w:sz w:val="20"/>
                    <w:szCs w:val="20"/>
                    <w:lang w:eastAsia="es-ES"/>
                  </w:rPr>
                </w:pPr>
              </w:p>
            </w:tc>
            <w:tc>
              <w:tcPr>
                <w:tcW w:w="2420" w:type="dxa"/>
                <w:vMerge/>
                <w:hideMark/>
              </w:tcPr>
              <w:p w:rsidR="00BC02FE" w:rsidRPr="00BC02FE" w:rsidRDefault="00BC02FE" w:rsidP="00BC02FE">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BC02FE" w:rsidRPr="00BC02FE" w:rsidRDefault="00BC02FE" w:rsidP="00BC02FE">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BC02FE" w:rsidRPr="00BC02FE" w:rsidTr="00BC02F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C02FE" w:rsidRPr="00BC02FE" w:rsidRDefault="00BC02FE" w:rsidP="00BC02FE">
                <w:pPr>
                  <w:rPr>
                    <w:rFonts w:eastAsia="Times New Roman" w:cs="Times New Roman"/>
                    <w:sz w:val="20"/>
                    <w:szCs w:val="20"/>
                    <w:lang w:eastAsia="es-ES"/>
                  </w:rPr>
                </w:pPr>
              </w:p>
            </w:tc>
            <w:tc>
              <w:tcPr>
                <w:tcW w:w="242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20,92%</w:t>
                </w:r>
              </w:p>
            </w:tc>
            <w:tc>
              <w:tcPr>
                <w:tcW w:w="280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21,74%</w:t>
                </w:r>
              </w:p>
            </w:tc>
          </w:tr>
          <w:tr w:rsidR="00BC02FE" w:rsidRPr="00BC02FE" w:rsidTr="00BC02FE">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C02FE" w:rsidRPr="00BC02FE" w:rsidRDefault="00BC02FE" w:rsidP="00BC02FE">
                <w:pPr>
                  <w:jc w:val="center"/>
                  <w:rPr>
                    <w:rFonts w:eastAsia="Times New Roman" w:cs="Times New Roman"/>
                    <w:sz w:val="20"/>
                    <w:szCs w:val="20"/>
                    <w:lang w:eastAsia="es-ES"/>
                  </w:rPr>
                </w:pPr>
                <w:r w:rsidRPr="00BC02FE">
                  <w:rPr>
                    <w:rFonts w:eastAsia="Times New Roman" w:cs="Times New Roman"/>
                    <w:sz w:val="20"/>
                    <w:szCs w:val="20"/>
                    <w:lang w:eastAsia="es-ES"/>
                  </w:rPr>
                  <w:t>(número de niños de 0 a4 años entre mujeres de 15 a 49)</w:t>
                </w:r>
              </w:p>
            </w:tc>
            <w:tc>
              <w:tcPr>
                <w:tcW w:w="242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BC02FE" w:rsidRPr="00BC02FE" w:rsidTr="00BC02F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C02FE" w:rsidRPr="00BC02FE" w:rsidRDefault="00BC02FE" w:rsidP="00BC02FE">
                <w:pPr>
                  <w:jc w:val="center"/>
                  <w:rPr>
                    <w:rFonts w:eastAsia="Times New Roman" w:cs="Times New Roman"/>
                    <w:sz w:val="20"/>
                    <w:szCs w:val="20"/>
                    <w:lang w:eastAsia="es-ES"/>
                  </w:rPr>
                </w:pPr>
              </w:p>
            </w:tc>
            <w:tc>
              <w:tcPr>
                <w:tcW w:w="242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BC02FE" w:rsidRPr="00BC02FE" w:rsidTr="00BC02F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C02FE" w:rsidRPr="00BC02FE" w:rsidRDefault="00BC02FE" w:rsidP="00BC02FE">
                <w:pPr>
                  <w:jc w:val="center"/>
                  <w:rPr>
                    <w:rFonts w:eastAsia="Times New Roman" w:cs="Times New Roman"/>
                    <w:sz w:val="20"/>
                    <w:szCs w:val="20"/>
                    <w:lang w:eastAsia="es-ES"/>
                  </w:rPr>
                </w:pPr>
                <w:r w:rsidRPr="00BC02FE">
                  <w:rPr>
                    <w:rFonts w:eastAsia="Times New Roman" w:cs="Times New Roman"/>
                    <w:sz w:val="20"/>
                    <w:szCs w:val="20"/>
                    <w:lang w:eastAsia="es-ES"/>
                  </w:rPr>
                  <w:t>Índice de potencialidad</w:t>
                </w:r>
              </w:p>
            </w:tc>
            <w:tc>
              <w:tcPr>
                <w:tcW w:w="2420" w:type="dxa"/>
                <w:vMerge w:val="restart"/>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Aragón</w:t>
                </w:r>
              </w:p>
            </w:tc>
            <w:tc>
              <w:tcPr>
                <w:tcW w:w="2800" w:type="dxa"/>
                <w:vMerge w:val="restart"/>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GAL</w:t>
                </w:r>
              </w:p>
            </w:tc>
          </w:tr>
          <w:tr w:rsidR="00BC02FE" w:rsidRPr="00BC02FE" w:rsidTr="00BC02F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C02FE" w:rsidRPr="00BC02FE" w:rsidRDefault="00BC02FE" w:rsidP="00BC02FE">
                <w:pPr>
                  <w:rPr>
                    <w:rFonts w:eastAsia="Times New Roman" w:cs="Times New Roman"/>
                    <w:sz w:val="20"/>
                    <w:szCs w:val="20"/>
                    <w:lang w:eastAsia="es-ES"/>
                  </w:rPr>
                </w:pPr>
              </w:p>
            </w:tc>
            <w:tc>
              <w:tcPr>
                <w:tcW w:w="2420" w:type="dxa"/>
                <w:vMerge/>
                <w:hideMark/>
              </w:tcPr>
              <w:p w:rsidR="00BC02FE" w:rsidRPr="00BC02FE" w:rsidRDefault="00BC02FE" w:rsidP="00BC02F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BC02FE" w:rsidRPr="00BC02FE" w:rsidRDefault="00BC02FE" w:rsidP="00BC02F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BC02FE" w:rsidRPr="00BC02FE" w:rsidTr="00BC02F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C02FE" w:rsidRPr="00BC02FE" w:rsidRDefault="00BC02FE" w:rsidP="00BC02FE">
                <w:pPr>
                  <w:rPr>
                    <w:rFonts w:eastAsia="Times New Roman" w:cs="Times New Roman"/>
                    <w:sz w:val="20"/>
                    <w:szCs w:val="20"/>
                    <w:lang w:eastAsia="es-ES"/>
                  </w:rPr>
                </w:pPr>
              </w:p>
            </w:tc>
            <w:tc>
              <w:tcPr>
                <w:tcW w:w="242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77,01%</w:t>
                </w:r>
              </w:p>
            </w:tc>
            <w:tc>
              <w:tcPr>
                <w:tcW w:w="280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77,13%</w:t>
                </w:r>
              </w:p>
            </w:tc>
          </w:tr>
          <w:tr w:rsidR="00BC02FE" w:rsidRPr="00BC02FE" w:rsidTr="00BC02FE">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C02FE" w:rsidRPr="00BC02FE" w:rsidRDefault="00BC02FE" w:rsidP="00BC02FE">
                <w:pPr>
                  <w:jc w:val="center"/>
                  <w:rPr>
                    <w:rFonts w:eastAsia="Times New Roman" w:cs="Times New Roman"/>
                    <w:sz w:val="20"/>
                    <w:szCs w:val="20"/>
                    <w:lang w:eastAsia="es-ES"/>
                  </w:rPr>
                </w:pPr>
                <w:r w:rsidRPr="00BC02FE">
                  <w:rPr>
                    <w:rFonts w:eastAsia="Times New Roman" w:cs="Times New Roman"/>
                    <w:sz w:val="20"/>
                    <w:szCs w:val="20"/>
                    <w:lang w:eastAsia="es-ES"/>
                  </w:rPr>
                  <w:t>(número mujeres de 20 a 34 entre mujeres de 35 a 49)</w:t>
                </w:r>
              </w:p>
            </w:tc>
            <w:tc>
              <w:tcPr>
                <w:tcW w:w="242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BC02FE" w:rsidRPr="00BC02FE" w:rsidTr="00BC02F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C02FE" w:rsidRPr="00BC02FE" w:rsidRDefault="00BC02FE" w:rsidP="00BC02FE">
                <w:pPr>
                  <w:jc w:val="center"/>
                  <w:rPr>
                    <w:rFonts w:eastAsia="Times New Roman" w:cs="Times New Roman"/>
                    <w:sz w:val="20"/>
                    <w:szCs w:val="20"/>
                    <w:lang w:eastAsia="es-ES"/>
                  </w:rPr>
                </w:pPr>
              </w:p>
            </w:tc>
            <w:tc>
              <w:tcPr>
                <w:tcW w:w="242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BC02FE" w:rsidRPr="00BC02FE" w:rsidTr="00BC02F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BC02FE" w:rsidRPr="00BC02FE" w:rsidRDefault="00BC02FE" w:rsidP="00BC02FE">
                <w:pPr>
                  <w:jc w:val="center"/>
                  <w:rPr>
                    <w:rFonts w:eastAsia="Times New Roman" w:cs="Times New Roman"/>
                    <w:sz w:val="20"/>
                    <w:szCs w:val="20"/>
                    <w:lang w:eastAsia="es-ES"/>
                  </w:rPr>
                </w:pPr>
              </w:p>
            </w:tc>
            <w:tc>
              <w:tcPr>
                <w:tcW w:w="242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BC02FE" w:rsidRPr="00BC02FE" w:rsidTr="00BC02FE">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BC02FE" w:rsidRPr="00BC02FE" w:rsidRDefault="00BC02FE" w:rsidP="00BC02FE">
                <w:pPr>
                  <w:jc w:val="center"/>
                  <w:rPr>
                    <w:rFonts w:eastAsia="Times New Roman" w:cs="Times New Roman"/>
                    <w:sz w:val="20"/>
                    <w:szCs w:val="20"/>
                    <w:lang w:eastAsia="es-ES"/>
                  </w:rPr>
                </w:pPr>
                <w:r w:rsidRPr="00BC02FE">
                  <w:rPr>
                    <w:rFonts w:eastAsia="Times New Roman" w:cs="Times New Roman"/>
                    <w:sz w:val="20"/>
                    <w:szCs w:val="20"/>
                    <w:lang w:eastAsia="es-ES"/>
                  </w:rPr>
                  <w:t xml:space="preserve">Coeficiente de </w:t>
                </w:r>
                <w:proofErr w:type="spellStart"/>
                <w:r w:rsidRPr="00BC02FE">
                  <w:rPr>
                    <w:rFonts w:eastAsia="Times New Roman" w:cs="Times New Roman"/>
                    <w:sz w:val="20"/>
                    <w:szCs w:val="20"/>
                    <w:lang w:eastAsia="es-ES"/>
                  </w:rPr>
                  <w:t>sustitucion</w:t>
                </w:r>
                <w:proofErr w:type="spellEnd"/>
              </w:p>
            </w:tc>
            <w:tc>
              <w:tcPr>
                <w:tcW w:w="2420" w:type="dxa"/>
                <w:vMerge w:val="restart"/>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Aragón</w:t>
                </w:r>
              </w:p>
            </w:tc>
            <w:tc>
              <w:tcPr>
                <w:tcW w:w="2800" w:type="dxa"/>
                <w:vMerge w:val="restart"/>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GAL</w:t>
                </w:r>
              </w:p>
            </w:tc>
          </w:tr>
          <w:tr w:rsidR="00BC02FE" w:rsidRPr="00BC02FE" w:rsidTr="00BC02FE">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C02FE" w:rsidRPr="00BC02FE" w:rsidRDefault="00BC02FE" w:rsidP="00BC02FE">
                <w:pPr>
                  <w:rPr>
                    <w:rFonts w:eastAsia="Times New Roman" w:cs="Times New Roman"/>
                    <w:sz w:val="20"/>
                    <w:szCs w:val="20"/>
                    <w:lang w:eastAsia="es-ES"/>
                  </w:rPr>
                </w:pPr>
              </w:p>
            </w:tc>
            <w:tc>
              <w:tcPr>
                <w:tcW w:w="2420" w:type="dxa"/>
                <w:vMerge/>
                <w:hideMark/>
              </w:tcPr>
              <w:p w:rsidR="00BC02FE" w:rsidRPr="00BC02FE" w:rsidRDefault="00BC02FE" w:rsidP="00BC02F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BC02FE" w:rsidRPr="00BC02FE" w:rsidRDefault="00BC02FE" w:rsidP="00BC02FE">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BC02FE" w:rsidRPr="00BC02FE" w:rsidTr="00BC02FE">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BC02FE" w:rsidRPr="00BC02FE" w:rsidRDefault="00BC02FE" w:rsidP="00BC02FE">
                <w:pPr>
                  <w:rPr>
                    <w:rFonts w:eastAsia="Times New Roman" w:cs="Times New Roman"/>
                    <w:sz w:val="20"/>
                    <w:szCs w:val="20"/>
                    <w:lang w:eastAsia="es-ES"/>
                  </w:rPr>
                </w:pPr>
              </w:p>
            </w:tc>
            <w:tc>
              <w:tcPr>
                <w:tcW w:w="242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80,06%</w:t>
                </w:r>
              </w:p>
            </w:tc>
            <w:tc>
              <w:tcPr>
                <w:tcW w:w="2800" w:type="dxa"/>
                <w:noWrap/>
                <w:hideMark/>
              </w:tcPr>
              <w:p w:rsidR="00BC02FE" w:rsidRPr="00BC02FE" w:rsidRDefault="00BC02FE" w:rsidP="00BC02FE">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BC02FE">
                  <w:rPr>
                    <w:rFonts w:eastAsia="Times New Roman" w:cs="Times New Roman"/>
                    <w:b/>
                    <w:bCs/>
                    <w:sz w:val="20"/>
                    <w:szCs w:val="20"/>
                    <w:lang w:eastAsia="es-ES"/>
                  </w:rPr>
                  <w:t>86,36%</w:t>
                </w:r>
              </w:p>
            </w:tc>
          </w:tr>
          <w:tr w:rsidR="00BC02FE" w:rsidRPr="00BC02FE" w:rsidTr="00BC02FE">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BC02FE" w:rsidRPr="00BC02FE" w:rsidRDefault="00BC02FE" w:rsidP="00BC02FE">
                <w:pPr>
                  <w:jc w:val="center"/>
                  <w:rPr>
                    <w:rFonts w:eastAsia="Times New Roman" w:cs="Times New Roman"/>
                    <w:sz w:val="20"/>
                    <w:szCs w:val="20"/>
                    <w:lang w:eastAsia="es-ES"/>
                  </w:rPr>
                </w:pPr>
                <w:r w:rsidRPr="00BC02FE">
                  <w:rPr>
                    <w:rFonts w:eastAsia="Times New Roman" w:cs="Times New Roman"/>
                    <w:sz w:val="20"/>
                    <w:szCs w:val="20"/>
                    <w:lang w:eastAsia="es-ES"/>
                  </w:rPr>
                  <w:t>(número de personas de 10 a 14 años entre personas de 60 a 64 años)</w:t>
                </w:r>
              </w:p>
            </w:tc>
            <w:tc>
              <w:tcPr>
                <w:tcW w:w="242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BC02FE" w:rsidRPr="00BC02FE" w:rsidRDefault="00BC02FE" w:rsidP="00BC02F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8222AC" w:rsidRDefault="00BC02FE" w:rsidP="00BB78C6">
          <w:pPr>
            <w:ind w:left="142"/>
            <w:jc w:val="both"/>
            <w:rPr>
              <w:b/>
              <w:sz w:val="24"/>
              <w:szCs w:val="24"/>
            </w:rPr>
          </w:pPr>
          <w:r>
            <w:rPr>
              <w:noProof/>
              <w:lang w:eastAsia="es-ES"/>
            </w:rPr>
            <w:drawing>
              <wp:inline distT="0" distB="0" distL="0" distR="0" wp14:anchorId="419AAEFA" wp14:editId="663791AC">
                <wp:extent cx="5400040" cy="2668859"/>
                <wp:effectExtent l="0" t="0" r="10160" b="1778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3934" w:rsidRPr="00974B32" w:rsidRDefault="00A33934" w:rsidP="00BB78C6">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EB4400" w:rsidP="00FA17CC">
          <w:pPr>
            <w:pStyle w:val="Prrafodelista"/>
            <w:ind w:hanging="578"/>
            <w:jc w:val="both"/>
            <w:rPr>
              <w:b/>
              <w:sz w:val="24"/>
              <w:szCs w:val="24"/>
            </w:rPr>
          </w:pPr>
          <w:r>
            <w:rPr>
              <w:noProof/>
              <w:lang w:eastAsia="es-ES"/>
            </w:rPr>
            <w:drawing>
              <wp:inline distT="0" distB="0" distL="0" distR="0" wp14:anchorId="7CDC600D" wp14:editId="2D5DDA7F">
                <wp:extent cx="5400040" cy="2444621"/>
                <wp:effectExtent l="0" t="0" r="10160" b="1333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353"/>
            <w:gridCol w:w="1287"/>
          </w:tblGrid>
          <w:tr w:rsidR="00EB4400" w:rsidRPr="00EB4400" w:rsidTr="00EB4400">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EB4400" w:rsidRPr="00EB4400" w:rsidRDefault="00EB4400" w:rsidP="00EB4400">
                <w:pPr>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 </w:t>
                </w:r>
              </w:p>
            </w:tc>
            <w:tc>
              <w:tcPr>
                <w:tcW w:w="2960" w:type="dxa"/>
                <w:gridSpan w:val="2"/>
                <w:noWrap/>
                <w:hideMark/>
              </w:tcPr>
              <w:p w:rsidR="00EB4400" w:rsidRPr="00EB4400" w:rsidRDefault="00EB4400" w:rsidP="00EB44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2012</w:t>
                </w:r>
              </w:p>
            </w:tc>
            <w:tc>
              <w:tcPr>
                <w:tcW w:w="2640" w:type="dxa"/>
                <w:gridSpan w:val="2"/>
                <w:noWrap/>
                <w:hideMark/>
              </w:tcPr>
              <w:p w:rsidR="00EB4400" w:rsidRPr="00EB4400" w:rsidRDefault="00EB4400" w:rsidP="00EB440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2011</w:t>
                </w:r>
              </w:p>
            </w:tc>
          </w:tr>
          <w:tr w:rsidR="00EB4400" w:rsidRPr="00EB4400" w:rsidTr="00EB44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EB4400" w:rsidRPr="00EB4400" w:rsidRDefault="00EB4400" w:rsidP="00EB4400">
                <w:pPr>
                  <w:rPr>
                    <w:rFonts w:ascii="Arial" w:eastAsia="Times New Roman" w:hAnsi="Arial" w:cs="Arial"/>
                    <w:sz w:val="16"/>
                    <w:szCs w:val="16"/>
                    <w:lang w:eastAsia="es-ES"/>
                  </w:rPr>
                </w:pPr>
                <w:r w:rsidRPr="00EB4400">
                  <w:rPr>
                    <w:rFonts w:ascii="Arial" w:eastAsia="Times New Roman" w:hAnsi="Arial" w:cs="Arial"/>
                    <w:sz w:val="16"/>
                    <w:szCs w:val="16"/>
                    <w:lang w:eastAsia="es-ES"/>
                  </w:rPr>
                  <w:t>Nacidos vivos por cada mil habitantes.</w:t>
                </w:r>
              </w:p>
            </w:tc>
            <w:tc>
              <w:tcPr>
                <w:tcW w:w="1517"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 xml:space="preserve">Aragón </w:t>
                </w:r>
              </w:p>
            </w:tc>
            <w:tc>
              <w:tcPr>
                <w:tcW w:w="1443"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GAL</w:t>
                </w:r>
              </w:p>
            </w:tc>
            <w:tc>
              <w:tcPr>
                <w:tcW w:w="1353"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 xml:space="preserve">Aragón </w:t>
                </w:r>
              </w:p>
            </w:tc>
            <w:tc>
              <w:tcPr>
                <w:tcW w:w="1287"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GAL</w:t>
                </w:r>
              </w:p>
            </w:tc>
          </w:tr>
          <w:tr w:rsidR="00EB4400" w:rsidRPr="00EB4400" w:rsidTr="00EB440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EB4400" w:rsidRPr="00EB4400" w:rsidRDefault="00EB4400" w:rsidP="00EB4400">
                <w:pPr>
                  <w:rPr>
                    <w:rFonts w:ascii="Arial" w:eastAsia="Times New Roman" w:hAnsi="Arial" w:cs="Arial"/>
                    <w:sz w:val="16"/>
                    <w:szCs w:val="16"/>
                    <w:lang w:eastAsia="es-ES"/>
                  </w:rPr>
                </w:pPr>
                <w:r w:rsidRPr="00EB4400">
                  <w:rPr>
                    <w:rFonts w:ascii="Arial" w:eastAsia="Times New Roman" w:hAnsi="Arial" w:cs="Arial"/>
                    <w:sz w:val="16"/>
                    <w:szCs w:val="16"/>
                    <w:lang w:eastAsia="es-ES"/>
                  </w:rPr>
                  <w:t>Tasa Bruta de Natalidad (‰).</w:t>
                </w:r>
              </w:p>
            </w:tc>
            <w:tc>
              <w:tcPr>
                <w:tcW w:w="1517"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8,878</w:t>
                </w:r>
              </w:p>
            </w:tc>
            <w:tc>
              <w:tcPr>
                <w:tcW w:w="1443"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8,788</w:t>
                </w:r>
              </w:p>
            </w:tc>
            <w:tc>
              <w:tcPr>
                <w:tcW w:w="1353"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9,366</w:t>
                </w:r>
              </w:p>
            </w:tc>
            <w:tc>
              <w:tcPr>
                <w:tcW w:w="1287"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8,973</w:t>
                </w:r>
              </w:p>
            </w:tc>
          </w:tr>
          <w:tr w:rsidR="00EB4400" w:rsidRPr="00EB4400" w:rsidTr="00EB44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EB4400" w:rsidRPr="00EB4400" w:rsidRDefault="00EB4400" w:rsidP="00EB4400">
                <w:pPr>
                  <w:rPr>
                    <w:rFonts w:ascii="Calibri" w:eastAsia="Times New Roman" w:hAnsi="Calibri" w:cs="Times New Roman"/>
                    <w:color w:val="000000"/>
                    <w:lang w:eastAsia="es-ES"/>
                  </w:rPr>
                </w:pPr>
              </w:p>
            </w:tc>
            <w:tc>
              <w:tcPr>
                <w:tcW w:w="1517"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EB4400" w:rsidRPr="00EB4400" w:rsidTr="00EB4400">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EB4400" w:rsidRPr="00EB4400" w:rsidRDefault="00EB4400" w:rsidP="00EB4400">
                <w:pPr>
                  <w:rPr>
                    <w:rFonts w:ascii="Arial" w:eastAsia="Times New Roman" w:hAnsi="Arial" w:cs="Arial"/>
                    <w:sz w:val="16"/>
                    <w:szCs w:val="16"/>
                    <w:lang w:eastAsia="es-ES"/>
                  </w:rPr>
                </w:pPr>
                <w:r w:rsidRPr="00EB4400">
                  <w:rPr>
                    <w:rFonts w:ascii="Arial" w:eastAsia="Times New Roman" w:hAnsi="Arial" w:cs="Arial"/>
                    <w:sz w:val="16"/>
                    <w:szCs w:val="16"/>
                    <w:lang w:eastAsia="es-ES"/>
                  </w:rPr>
                  <w:t>Defunciones por cada mil habitantes.</w:t>
                </w:r>
              </w:p>
            </w:tc>
            <w:tc>
              <w:tcPr>
                <w:tcW w:w="1517"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 xml:space="preserve">Aragón </w:t>
                </w:r>
              </w:p>
            </w:tc>
            <w:tc>
              <w:tcPr>
                <w:tcW w:w="1443"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GAL</w:t>
                </w:r>
              </w:p>
            </w:tc>
            <w:tc>
              <w:tcPr>
                <w:tcW w:w="1353"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 xml:space="preserve">Aragón </w:t>
                </w:r>
              </w:p>
            </w:tc>
            <w:tc>
              <w:tcPr>
                <w:tcW w:w="1287"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GAL</w:t>
                </w:r>
              </w:p>
            </w:tc>
          </w:tr>
          <w:tr w:rsidR="00EB4400" w:rsidRPr="00EB4400" w:rsidTr="00EB44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EB4400" w:rsidRPr="00EB4400" w:rsidRDefault="00EB4400" w:rsidP="00EB4400">
                <w:pPr>
                  <w:rPr>
                    <w:rFonts w:ascii="Arial" w:eastAsia="Times New Roman" w:hAnsi="Arial" w:cs="Arial"/>
                    <w:sz w:val="16"/>
                    <w:szCs w:val="16"/>
                    <w:lang w:eastAsia="es-ES"/>
                  </w:rPr>
                </w:pPr>
                <w:r w:rsidRPr="00EB4400">
                  <w:rPr>
                    <w:rFonts w:ascii="Arial" w:eastAsia="Times New Roman" w:hAnsi="Arial" w:cs="Arial"/>
                    <w:sz w:val="16"/>
                    <w:szCs w:val="16"/>
                    <w:lang w:eastAsia="es-ES"/>
                  </w:rPr>
                  <w:t>Tasa Bruta de Mortalidad (‰).</w:t>
                </w:r>
              </w:p>
            </w:tc>
            <w:tc>
              <w:tcPr>
                <w:tcW w:w="1517"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10,170</w:t>
                </w:r>
              </w:p>
            </w:tc>
            <w:tc>
              <w:tcPr>
                <w:tcW w:w="1443"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10,672</w:t>
                </w:r>
              </w:p>
            </w:tc>
            <w:tc>
              <w:tcPr>
                <w:tcW w:w="1353"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10,067</w:t>
                </w:r>
              </w:p>
            </w:tc>
            <w:tc>
              <w:tcPr>
                <w:tcW w:w="1287"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10,888</w:t>
                </w:r>
              </w:p>
            </w:tc>
          </w:tr>
          <w:tr w:rsidR="00EB4400" w:rsidRPr="00EB4400" w:rsidTr="00EB440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EB4400" w:rsidRPr="00EB4400" w:rsidRDefault="00EB4400" w:rsidP="00EB4400">
                <w:pPr>
                  <w:rPr>
                    <w:rFonts w:ascii="Calibri" w:eastAsia="Times New Roman" w:hAnsi="Calibri" w:cs="Times New Roman"/>
                    <w:color w:val="000000"/>
                    <w:lang w:eastAsia="es-ES"/>
                  </w:rPr>
                </w:pPr>
              </w:p>
            </w:tc>
            <w:tc>
              <w:tcPr>
                <w:tcW w:w="1517"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p>
            </w:tc>
          </w:tr>
          <w:tr w:rsidR="00EB4400" w:rsidRPr="00EB4400" w:rsidTr="00EB440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EB4400" w:rsidRPr="00EB4400" w:rsidRDefault="00EB4400" w:rsidP="00EB4400">
                <w:pPr>
                  <w:rPr>
                    <w:rFonts w:ascii="Arial" w:eastAsia="Times New Roman" w:hAnsi="Arial" w:cs="Arial"/>
                    <w:sz w:val="16"/>
                    <w:szCs w:val="16"/>
                    <w:lang w:eastAsia="es-ES"/>
                  </w:rPr>
                </w:pPr>
                <w:r w:rsidRPr="00EB4400">
                  <w:rPr>
                    <w:rFonts w:ascii="Arial" w:eastAsia="Times New Roman" w:hAnsi="Arial" w:cs="Arial"/>
                    <w:sz w:val="16"/>
                    <w:szCs w:val="16"/>
                    <w:lang w:eastAsia="es-ES"/>
                  </w:rPr>
                  <w:t>Saldo vegetativo (nacimientos menos defunciones) por cada mil habitantes.</w:t>
                </w:r>
              </w:p>
            </w:tc>
            <w:tc>
              <w:tcPr>
                <w:tcW w:w="1517"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 xml:space="preserve">Aragón </w:t>
                </w:r>
              </w:p>
            </w:tc>
            <w:tc>
              <w:tcPr>
                <w:tcW w:w="1443"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GAL</w:t>
                </w:r>
              </w:p>
            </w:tc>
            <w:tc>
              <w:tcPr>
                <w:tcW w:w="1353"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 xml:space="preserve">Aragón </w:t>
                </w:r>
              </w:p>
            </w:tc>
            <w:tc>
              <w:tcPr>
                <w:tcW w:w="1287"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GAL</w:t>
                </w:r>
              </w:p>
            </w:tc>
          </w:tr>
          <w:tr w:rsidR="00EB4400" w:rsidRPr="00EB4400" w:rsidTr="00EB440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EB4400" w:rsidRPr="00EB4400" w:rsidRDefault="00EB4400" w:rsidP="00EB4400">
                <w:pPr>
                  <w:rPr>
                    <w:rFonts w:ascii="Arial" w:eastAsia="Times New Roman" w:hAnsi="Arial" w:cs="Arial"/>
                    <w:sz w:val="16"/>
                    <w:szCs w:val="16"/>
                    <w:lang w:eastAsia="es-ES"/>
                  </w:rPr>
                </w:pPr>
                <w:r w:rsidRPr="00EB4400">
                  <w:rPr>
                    <w:rFonts w:ascii="Arial" w:eastAsia="Times New Roman" w:hAnsi="Arial" w:cs="Arial"/>
                    <w:sz w:val="16"/>
                    <w:szCs w:val="16"/>
                    <w:lang w:eastAsia="es-ES"/>
                  </w:rPr>
                  <w:t>Tasa Bruta de Crecimiento Vegetativo (‰)</w:t>
                </w:r>
              </w:p>
            </w:tc>
            <w:tc>
              <w:tcPr>
                <w:tcW w:w="1517"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-1,292</w:t>
                </w:r>
              </w:p>
            </w:tc>
            <w:tc>
              <w:tcPr>
                <w:tcW w:w="1443"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-1,884</w:t>
                </w:r>
              </w:p>
            </w:tc>
            <w:tc>
              <w:tcPr>
                <w:tcW w:w="1353"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-0,700</w:t>
                </w:r>
              </w:p>
            </w:tc>
            <w:tc>
              <w:tcPr>
                <w:tcW w:w="1287"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-1,915</w:t>
                </w:r>
              </w:p>
            </w:tc>
          </w:tr>
          <w:tr w:rsidR="00EB4400" w:rsidRPr="00EB4400" w:rsidTr="00EB44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EB4400" w:rsidRPr="00EB4400" w:rsidRDefault="00EB4400" w:rsidP="00EB4400">
                <w:pPr>
                  <w:rPr>
                    <w:rFonts w:ascii="Calibri" w:eastAsia="Times New Roman" w:hAnsi="Calibri" w:cs="Times New Roman"/>
                    <w:color w:val="000000"/>
                    <w:lang w:eastAsia="es-ES"/>
                  </w:rPr>
                </w:pPr>
              </w:p>
            </w:tc>
            <w:tc>
              <w:tcPr>
                <w:tcW w:w="1517" w:type="dxa"/>
                <w:noWrap/>
                <w:hideMark/>
              </w:tcPr>
              <w:p w:rsidR="00EB4400" w:rsidRPr="00EB4400" w:rsidRDefault="00EB4400" w:rsidP="00EB44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443" w:type="dxa"/>
                <w:noWrap/>
                <w:hideMark/>
              </w:tcPr>
              <w:p w:rsidR="00EB4400" w:rsidRPr="00EB4400" w:rsidRDefault="00EB4400" w:rsidP="00EB44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353" w:type="dxa"/>
                <w:noWrap/>
                <w:hideMark/>
              </w:tcPr>
              <w:p w:rsidR="00EB4400" w:rsidRPr="00EB4400" w:rsidRDefault="00EB4400" w:rsidP="00EB44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c>
              <w:tcPr>
                <w:tcW w:w="1287" w:type="dxa"/>
                <w:noWrap/>
                <w:hideMark/>
              </w:tcPr>
              <w:p w:rsidR="00EB4400" w:rsidRPr="00EB4400" w:rsidRDefault="00EB4400" w:rsidP="00EB440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p>
            </w:tc>
          </w:tr>
          <w:tr w:rsidR="00EB4400" w:rsidRPr="00EB4400" w:rsidTr="00EB4400">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EB4400" w:rsidRPr="00EB4400" w:rsidRDefault="00EB4400" w:rsidP="00EB4400">
                <w:pPr>
                  <w:rPr>
                    <w:rFonts w:ascii="Arial" w:eastAsia="Times New Roman" w:hAnsi="Arial" w:cs="Arial"/>
                    <w:sz w:val="16"/>
                    <w:szCs w:val="16"/>
                    <w:lang w:eastAsia="es-ES"/>
                  </w:rPr>
                </w:pPr>
                <w:r w:rsidRPr="00EB4400">
                  <w:rPr>
                    <w:rFonts w:ascii="Arial" w:eastAsia="Times New Roman" w:hAnsi="Arial" w:cs="Arial"/>
                    <w:sz w:val="16"/>
                    <w:szCs w:val="16"/>
                    <w:lang w:eastAsia="es-ES"/>
                  </w:rPr>
                  <w:t>Matrimonios por cada mil habitantes.</w:t>
                </w:r>
              </w:p>
            </w:tc>
            <w:tc>
              <w:tcPr>
                <w:tcW w:w="1517"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 xml:space="preserve">Aragón </w:t>
                </w:r>
              </w:p>
            </w:tc>
            <w:tc>
              <w:tcPr>
                <w:tcW w:w="1443"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GAL</w:t>
                </w:r>
              </w:p>
            </w:tc>
            <w:tc>
              <w:tcPr>
                <w:tcW w:w="1353"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 xml:space="preserve">Aragón </w:t>
                </w:r>
              </w:p>
            </w:tc>
            <w:tc>
              <w:tcPr>
                <w:tcW w:w="1287" w:type="dxa"/>
                <w:noWrap/>
                <w:hideMark/>
              </w:tcPr>
              <w:p w:rsidR="00EB4400" w:rsidRPr="00EB4400" w:rsidRDefault="00EB4400" w:rsidP="00EB440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GAL</w:t>
                </w:r>
              </w:p>
            </w:tc>
          </w:tr>
          <w:tr w:rsidR="00EB4400" w:rsidRPr="00EB4400" w:rsidTr="00EB440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EB4400" w:rsidRPr="00EB4400" w:rsidRDefault="00EB4400" w:rsidP="00EB4400">
                <w:pPr>
                  <w:rPr>
                    <w:rFonts w:ascii="Arial" w:eastAsia="Times New Roman" w:hAnsi="Arial" w:cs="Arial"/>
                    <w:sz w:val="16"/>
                    <w:szCs w:val="16"/>
                    <w:lang w:eastAsia="es-ES"/>
                  </w:rPr>
                </w:pPr>
                <w:r w:rsidRPr="00EB4400">
                  <w:rPr>
                    <w:rFonts w:ascii="Arial" w:eastAsia="Times New Roman" w:hAnsi="Arial" w:cs="Arial"/>
                    <w:sz w:val="16"/>
                    <w:szCs w:val="16"/>
                    <w:lang w:eastAsia="es-ES"/>
                  </w:rPr>
                  <w:t>Tasa Bruta de Nupcialidad (‰).</w:t>
                </w:r>
              </w:p>
            </w:tc>
            <w:tc>
              <w:tcPr>
                <w:tcW w:w="1517"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3,492</w:t>
                </w:r>
              </w:p>
            </w:tc>
            <w:tc>
              <w:tcPr>
                <w:tcW w:w="1443"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3,135</w:t>
                </w:r>
              </w:p>
            </w:tc>
            <w:tc>
              <w:tcPr>
                <w:tcW w:w="1353"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3,205</w:t>
                </w:r>
              </w:p>
            </w:tc>
            <w:tc>
              <w:tcPr>
                <w:tcW w:w="1287" w:type="dxa"/>
                <w:noWrap/>
                <w:hideMark/>
              </w:tcPr>
              <w:p w:rsidR="00EB4400" w:rsidRPr="00EB4400" w:rsidRDefault="00EB4400" w:rsidP="00EB440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ES"/>
                  </w:rPr>
                </w:pPr>
                <w:r w:rsidRPr="00EB4400">
                  <w:rPr>
                    <w:rFonts w:ascii="Calibri" w:eastAsia="Times New Roman" w:hAnsi="Calibri" w:cs="Times New Roman"/>
                    <w:color w:val="000000"/>
                    <w:lang w:eastAsia="es-ES"/>
                  </w:rPr>
                  <w:t>2,549</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EB4400" w:rsidP="00190C45">
          <w:pPr>
            <w:pStyle w:val="Prrafodelista"/>
            <w:jc w:val="center"/>
            <w:rPr>
              <w:b/>
              <w:sz w:val="24"/>
              <w:szCs w:val="24"/>
            </w:rPr>
          </w:pPr>
          <w:r>
            <w:rPr>
              <w:noProof/>
              <w:lang w:eastAsia="es-ES"/>
            </w:rPr>
            <w:lastRenderedPageBreak/>
            <w:drawing>
              <wp:inline distT="0" distB="0" distL="0" distR="0" wp14:anchorId="0493F2B6" wp14:editId="3AD2E8EA">
                <wp:extent cx="5400040" cy="2764175"/>
                <wp:effectExtent l="0" t="0" r="10160" b="1714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t>Porcentaje de llegada de hombres y mujeres extranjeros:</w:t>
          </w:r>
        </w:p>
        <w:p w:rsidR="00E87CD9" w:rsidRPr="00E87CD9" w:rsidRDefault="00E87CD9" w:rsidP="00DA6CCE">
          <w:pPr>
            <w:pStyle w:val="Prrafodelista"/>
            <w:jc w:val="both"/>
            <w:rPr>
              <w:b/>
              <w:sz w:val="24"/>
              <w:szCs w:val="24"/>
            </w:rPr>
          </w:pPr>
        </w:p>
        <w:p w:rsidR="00E87CD9" w:rsidRDefault="00EB4400" w:rsidP="00106908">
          <w:pPr>
            <w:pStyle w:val="Prrafodelista"/>
            <w:ind w:left="142" w:right="-568"/>
            <w:jc w:val="both"/>
            <w:rPr>
              <w:b/>
              <w:sz w:val="24"/>
              <w:szCs w:val="24"/>
            </w:rPr>
          </w:pPr>
          <w:r>
            <w:rPr>
              <w:b/>
              <w:noProof/>
              <w:sz w:val="24"/>
              <w:szCs w:val="24"/>
              <w:lang w:eastAsia="es-ES"/>
            </w:rPr>
            <w:drawing>
              <wp:inline distT="0" distB="0" distL="0" distR="0" wp14:anchorId="483E26B5" wp14:editId="135FD575">
                <wp:extent cx="2722880" cy="1635760"/>
                <wp:effectExtent l="0" t="0" r="127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2880" cy="1635760"/>
                        </a:xfrm>
                        <a:prstGeom prst="rect">
                          <a:avLst/>
                        </a:prstGeom>
                        <a:noFill/>
                      </pic:spPr>
                    </pic:pic>
                  </a:graphicData>
                </a:graphic>
              </wp:inline>
            </w:drawing>
          </w:r>
          <w:r>
            <w:rPr>
              <w:b/>
              <w:noProof/>
              <w:sz w:val="24"/>
              <w:szCs w:val="24"/>
              <w:lang w:eastAsia="es-ES"/>
            </w:rPr>
            <w:drawing>
              <wp:inline distT="0" distB="0" distL="0" distR="0" wp14:anchorId="5E8CABF7" wp14:editId="55AE00FD">
                <wp:extent cx="2721295" cy="1635760"/>
                <wp:effectExtent l="0" t="0" r="3175" b="254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3535" cy="1637107"/>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Pr="00287406" w:rsidRDefault="008222AC" w:rsidP="00287406">
          <w:pPr>
            <w:jc w:val="both"/>
            <w:rPr>
              <w:b/>
              <w:sz w:val="24"/>
              <w:szCs w:val="24"/>
            </w:rPr>
          </w:pPr>
        </w:p>
        <w:p w:rsidR="00BB47F5" w:rsidRDefault="00BB47F5"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mc:AlternateContent>
              <mc:Choice Requires="wps">
                <w:drawing>
                  <wp:anchor distT="0" distB="0" distL="114300" distR="114300" simplePos="0" relativeHeight="251662336" behindDoc="0" locked="0" layoutInCell="1" allowOverlap="1" wp14:anchorId="0F68D715" wp14:editId="44100D0E">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8E2D35" w:rsidP="00DA6CCE">
          <w:pPr>
            <w:pStyle w:val="Prrafodelista"/>
            <w:tabs>
              <w:tab w:val="left" w:pos="3456"/>
            </w:tabs>
            <w:ind w:left="284"/>
            <w:jc w:val="both"/>
            <w:rPr>
              <w:b/>
            </w:rPr>
          </w:pPr>
          <w:r>
            <w:rPr>
              <w:noProof/>
              <w:lang w:eastAsia="es-ES"/>
            </w:rPr>
            <w:drawing>
              <wp:inline distT="0" distB="0" distL="0" distR="0" wp14:anchorId="36D1B66A" wp14:editId="264FE2AA">
                <wp:extent cx="5630980" cy="3444240"/>
                <wp:effectExtent l="0" t="0" r="27305" b="2286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055955" w:rsidRDefault="008E2D35" w:rsidP="006E0D50">
          <w:pPr>
            <w:pStyle w:val="Prrafodelista"/>
            <w:tabs>
              <w:tab w:val="left" w:pos="3456"/>
            </w:tabs>
            <w:ind w:left="284"/>
            <w:jc w:val="both"/>
            <w:rPr>
              <w:b/>
            </w:rPr>
          </w:pPr>
          <w:r>
            <w:rPr>
              <w:noProof/>
              <w:lang w:eastAsia="es-ES"/>
            </w:rPr>
            <w:lastRenderedPageBreak/>
            <w:drawing>
              <wp:inline distT="0" distB="0" distL="0" distR="0" wp14:anchorId="61B76BA6" wp14:editId="54A99B9E">
                <wp:extent cx="5405120" cy="3352800"/>
                <wp:effectExtent l="0" t="0" r="24130" b="1905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E0D50" w:rsidRPr="006E0D50" w:rsidRDefault="006E0D50" w:rsidP="006E0D50">
          <w:pPr>
            <w:pStyle w:val="Prrafodelista"/>
            <w:tabs>
              <w:tab w:val="left" w:pos="3456"/>
            </w:tabs>
            <w:ind w:left="284"/>
            <w:jc w:val="both"/>
            <w:rPr>
              <w:b/>
            </w:rPr>
          </w:pPr>
        </w:p>
        <w:p w:rsidR="00055955" w:rsidRDefault="00055955"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t xml:space="preserve">Estructura de altas en la seguridad social por sexo y grupos de edad (Septiembre 2014) </w:t>
          </w:r>
        </w:p>
        <w:p w:rsidR="00A84D47" w:rsidRDefault="00FB6149" w:rsidP="00DA6CCE">
          <w:pPr>
            <w:pStyle w:val="Prrafodelista"/>
            <w:tabs>
              <w:tab w:val="left" w:pos="3456"/>
            </w:tabs>
            <w:ind w:left="0"/>
            <w:jc w:val="both"/>
            <w:rPr>
              <w:b/>
            </w:rPr>
          </w:pPr>
          <w:r>
            <w:rPr>
              <w:noProof/>
              <w:lang w:eastAsia="es-ES"/>
            </w:rPr>
            <w:drawing>
              <wp:inline distT="0" distB="0" distL="0" distR="0" wp14:anchorId="09C3CDD9" wp14:editId="37BCC251">
                <wp:extent cx="5923280" cy="3291840"/>
                <wp:effectExtent l="0" t="0" r="20320" b="2286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FB6149" w:rsidP="00DA6CCE">
          <w:pPr>
            <w:pStyle w:val="Prrafodelista"/>
            <w:tabs>
              <w:tab w:val="left" w:pos="3456"/>
            </w:tabs>
            <w:ind w:left="0"/>
            <w:jc w:val="both"/>
            <w:rPr>
              <w:b/>
            </w:rPr>
          </w:pPr>
          <w:r>
            <w:rPr>
              <w:noProof/>
              <w:lang w:eastAsia="es-ES"/>
            </w:rPr>
            <w:lastRenderedPageBreak/>
            <w:drawing>
              <wp:inline distT="0" distB="0" distL="0" distR="0" wp14:anchorId="5F777803" wp14:editId="0543FC16">
                <wp:extent cx="5923280" cy="3251200"/>
                <wp:effectExtent l="0" t="0" r="20320" b="2540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6E0D50" w:rsidRDefault="006E0D50"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6E0D50" w:rsidP="00DA6CCE">
          <w:pPr>
            <w:pStyle w:val="Prrafodelista"/>
            <w:tabs>
              <w:tab w:val="left" w:pos="3456"/>
            </w:tabs>
            <w:ind w:left="0"/>
            <w:jc w:val="both"/>
            <w:rPr>
              <w:b/>
            </w:rPr>
          </w:pPr>
          <w:r>
            <w:rPr>
              <w:noProof/>
              <w:lang w:eastAsia="es-ES"/>
            </w:rPr>
            <w:drawing>
              <wp:inline distT="0" distB="0" distL="0" distR="0" wp14:anchorId="1C2A882C" wp14:editId="26B6D1F5">
                <wp:extent cx="5923280" cy="3576320"/>
                <wp:effectExtent l="0" t="0" r="20320" b="2413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746BD5" w:rsidRDefault="006E0D50" w:rsidP="00695C58">
          <w:pPr>
            <w:pStyle w:val="Prrafodelista"/>
            <w:tabs>
              <w:tab w:val="left" w:pos="3456"/>
            </w:tabs>
            <w:ind w:left="0"/>
            <w:jc w:val="both"/>
            <w:rPr>
              <w:b/>
            </w:rPr>
          </w:pPr>
          <w:r>
            <w:rPr>
              <w:noProof/>
              <w:lang w:eastAsia="es-ES"/>
            </w:rPr>
            <w:lastRenderedPageBreak/>
            <w:drawing>
              <wp:inline distT="0" distB="0" distL="0" distR="0" wp14:anchorId="4EA172E7" wp14:editId="22C1EC06">
                <wp:extent cx="5923280" cy="3718560"/>
                <wp:effectExtent l="0" t="0" r="20320" b="152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3104" w:rsidRDefault="00433104" w:rsidP="00695C58">
          <w:pPr>
            <w:pStyle w:val="Prrafodelista"/>
            <w:tabs>
              <w:tab w:val="left" w:pos="3456"/>
            </w:tabs>
            <w:ind w:left="0"/>
            <w:jc w:val="both"/>
            <w:rPr>
              <w:b/>
            </w:rPr>
          </w:pPr>
        </w:p>
        <w:p w:rsidR="00BA5C6C" w:rsidRPr="00565BB1" w:rsidRDefault="00BA5C6C" w:rsidP="00695C58">
          <w:pPr>
            <w:pStyle w:val="Prrafodelista"/>
            <w:tabs>
              <w:tab w:val="left" w:pos="3456"/>
            </w:tabs>
            <w:ind w:left="0"/>
            <w:jc w:val="both"/>
            <w:rPr>
              <w:b/>
            </w:rPr>
          </w:pPr>
        </w:p>
        <w:p w:rsidR="00D16764" w:rsidRPr="00AF7330" w:rsidRDefault="00565BB1" w:rsidP="00DA6CCE">
          <w:pPr>
            <w:pStyle w:val="Prrafodelista"/>
            <w:numPr>
              <w:ilvl w:val="0"/>
              <w:numId w:val="1"/>
            </w:numPr>
            <w:tabs>
              <w:tab w:val="left" w:pos="3456"/>
            </w:tabs>
            <w:jc w:val="both"/>
            <w:rPr>
              <w:b/>
            </w:rPr>
          </w:pPr>
          <w:r w:rsidRPr="009257EF">
            <w:rPr>
              <w:b/>
            </w:rPr>
            <w:t xml:space="preserve"> </w:t>
          </w:r>
          <w:r w:rsidR="00746BD5" w:rsidRPr="009257EF">
            <w:rPr>
              <w:b/>
            </w:rPr>
            <w:t>Promedio de las fuentes tributarias que ex</w:t>
          </w:r>
          <w:r w:rsidR="004C76DF">
            <w:rPr>
              <w:b/>
            </w:rPr>
            <w:t>isten de cada tipo en el grupo CEDER ORIENTAL HUESCA</w:t>
          </w:r>
          <w:r w:rsidR="00AF7330">
            <w:rPr>
              <w:b/>
            </w:rPr>
            <w:t xml:space="preserve"> </w:t>
          </w:r>
          <w:r w:rsidR="00AF7330" w:rsidRPr="00AF7330">
            <w:rPr>
              <w:b/>
            </w:rPr>
            <w:t>(2010).</w:t>
          </w:r>
        </w:p>
        <w:tbl>
          <w:tblPr>
            <w:tblStyle w:val="Sombreadoclaro-nfasis4"/>
            <w:tblpPr w:leftFromText="141" w:rightFromText="141" w:vertAnchor="text" w:horzAnchor="margin" w:tblpY="273"/>
            <w:tblW w:w="8758" w:type="dxa"/>
            <w:tblLook w:val="04A0" w:firstRow="1" w:lastRow="0" w:firstColumn="1" w:lastColumn="0" w:noHBand="0" w:noVBand="1"/>
          </w:tblPr>
          <w:tblGrid>
            <w:gridCol w:w="1859"/>
            <w:gridCol w:w="1859"/>
            <w:gridCol w:w="2033"/>
            <w:gridCol w:w="2106"/>
            <w:gridCol w:w="901"/>
          </w:tblGrid>
          <w:tr w:rsidR="00BE3139" w:rsidRPr="00BE3139" w:rsidTr="00BE3139">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59" w:type="dxa"/>
                <w:vMerge w:val="restart"/>
                <w:noWrap/>
                <w:hideMark/>
              </w:tcPr>
              <w:p w:rsidR="00BE3139" w:rsidRPr="00BE3139" w:rsidRDefault="00BE3139" w:rsidP="00BE3139">
                <w:pPr>
                  <w:jc w:val="center"/>
                  <w:rPr>
                    <w:rFonts w:ascii="Calibri" w:eastAsia="Times New Roman" w:hAnsi="Calibri" w:cs="Times New Roman"/>
                    <w:color w:val="000000"/>
                    <w:lang w:eastAsia="es-ES"/>
                  </w:rPr>
                </w:pPr>
                <w:r w:rsidRPr="00BE3139">
                  <w:rPr>
                    <w:rFonts w:ascii="Calibri" w:eastAsia="Times New Roman" w:hAnsi="Calibri" w:cs="Times New Roman"/>
                    <w:color w:val="000000"/>
                    <w:lang w:eastAsia="es-ES"/>
                  </w:rPr>
                  <w:t>CEDER ORIENTAL HUESC</w:t>
                </w:r>
              </w:p>
            </w:tc>
            <w:tc>
              <w:tcPr>
                <w:tcW w:w="1859" w:type="dxa"/>
                <w:noWrap/>
                <w:hideMark/>
              </w:tcPr>
              <w:p w:rsidR="00BE3139" w:rsidRPr="00BE3139" w:rsidRDefault="00BE3139" w:rsidP="00BE31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E3139">
                  <w:rPr>
                    <w:rFonts w:ascii="Calibri" w:eastAsia="Times New Roman" w:hAnsi="Calibri" w:cs="Times New Roman"/>
                    <w:color w:val="000000"/>
                    <w:lang w:eastAsia="es-ES"/>
                  </w:rPr>
                  <w:t>Total percepciones salarios</w:t>
                </w:r>
              </w:p>
            </w:tc>
            <w:tc>
              <w:tcPr>
                <w:tcW w:w="2033" w:type="dxa"/>
                <w:noWrap/>
                <w:hideMark/>
              </w:tcPr>
              <w:p w:rsidR="00BE3139" w:rsidRPr="00BE3139" w:rsidRDefault="00BE3139" w:rsidP="00BE31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E3139">
                  <w:rPr>
                    <w:rFonts w:ascii="Calibri" w:eastAsia="Times New Roman" w:hAnsi="Calibri" w:cs="Times New Roman"/>
                    <w:color w:val="000000"/>
                    <w:lang w:eastAsia="es-ES"/>
                  </w:rPr>
                  <w:t>Total Percepciones pensiones</w:t>
                </w:r>
              </w:p>
            </w:tc>
            <w:tc>
              <w:tcPr>
                <w:tcW w:w="2106" w:type="dxa"/>
                <w:noWrap/>
                <w:hideMark/>
              </w:tcPr>
              <w:p w:rsidR="00BE3139" w:rsidRPr="00BE3139" w:rsidRDefault="00BE3139" w:rsidP="00BE31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BE3139">
                  <w:rPr>
                    <w:rFonts w:ascii="Calibri" w:eastAsia="Times New Roman" w:hAnsi="Calibri" w:cs="Times New Roman"/>
                    <w:color w:val="000000"/>
                    <w:lang w:eastAsia="es-ES"/>
                  </w:rPr>
                  <w:t>Total Percepciones desempleo</w:t>
                </w:r>
              </w:p>
            </w:tc>
            <w:tc>
              <w:tcPr>
                <w:tcW w:w="901" w:type="dxa"/>
                <w:noWrap/>
                <w:hideMark/>
              </w:tcPr>
              <w:p w:rsidR="00BE3139" w:rsidRPr="00BE3139" w:rsidRDefault="00BE3139" w:rsidP="00BE313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b w:val="0"/>
                    <w:bCs w:val="0"/>
                    <w:color w:val="000000"/>
                    <w:lang w:eastAsia="es-ES"/>
                  </w:rPr>
                  <w:t>Padró</w:t>
                </w:r>
                <w:r w:rsidRPr="00BE3139">
                  <w:rPr>
                    <w:rFonts w:ascii="Calibri" w:eastAsia="Times New Roman" w:hAnsi="Calibri" w:cs="Times New Roman"/>
                    <w:color w:val="000000"/>
                    <w:lang w:eastAsia="es-ES"/>
                  </w:rPr>
                  <w:t>n total</w:t>
                </w:r>
              </w:p>
            </w:tc>
          </w:tr>
          <w:tr w:rsidR="00BE3139" w:rsidRPr="00BE3139" w:rsidTr="00BE3139">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859" w:type="dxa"/>
                <w:vMerge/>
                <w:noWrap/>
                <w:hideMark/>
              </w:tcPr>
              <w:p w:rsidR="00BE3139" w:rsidRPr="00BE3139" w:rsidRDefault="00BE3139" w:rsidP="00BE3139">
                <w:pPr>
                  <w:jc w:val="center"/>
                  <w:rPr>
                    <w:rFonts w:ascii="Calibri" w:eastAsia="Times New Roman" w:hAnsi="Calibri" w:cs="Times New Roman"/>
                    <w:color w:val="000000"/>
                    <w:lang w:eastAsia="es-ES"/>
                  </w:rPr>
                </w:pPr>
              </w:p>
            </w:tc>
            <w:tc>
              <w:tcPr>
                <w:tcW w:w="1859" w:type="dxa"/>
                <w:noWrap/>
                <w:hideMark/>
              </w:tcPr>
              <w:p w:rsidR="00BE3139" w:rsidRPr="00BE3139" w:rsidRDefault="00BE3139" w:rsidP="00BE31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E3139">
                  <w:rPr>
                    <w:rFonts w:ascii="Calibri" w:eastAsia="Times New Roman" w:hAnsi="Calibri" w:cs="Times New Roman"/>
                    <w:b/>
                    <w:bCs/>
                    <w:color w:val="000000"/>
                    <w:lang w:eastAsia="es-ES"/>
                  </w:rPr>
                  <w:t>36384</w:t>
                </w:r>
              </w:p>
            </w:tc>
            <w:tc>
              <w:tcPr>
                <w:tcW w:w="2033" w:type="dxa"/>
                <w:noWrap/>
                <w:hideMark/>
              </w:tcPr>
              <w:p w:rsidR="00BE3139" w:rsidRPr="00BE3139" w:rsidRDefault="00BE3139" w:rsidP="00BE31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E3139">
                  <w:rPr>
                    <w:rFonts w:ascii="Calibri" w:eastAsia="Times New Roman" w:hAnsi="Calibri" w:cs="Times New Roman"/>
                    <w:b/>
                    <w:bCs/>
                    <w:color w:val="000000"/>
                    <w:lang w:eastAsia="es-ES"/>
                  </w:rPr>
                  <w:t>18535</w:t>
                </w:r>
              </w:p>
            </w:tc>
            <w:tc>
              <w:tcPr>
                <w:tcW w:w="2106" w:type="dxa"/>
                <w:noWrap/>
                <w:hideMark/>
              </w:tcPr>
              <w:p w:rsidR="00BE3139" w:rsidRPr="00BE3139" w:rsidRDefault="00BE3139" w:rsidP="00BE31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E3139">
                  <w:rPr>
                    <w:rFonts w:ascii="Calibri" w:eastAsia="Times New Roman" w:hAnsi="Calibri" w:cs="Times New Roman"/>
                    <w:b/>
                    <w:bCs/>
                    <w:color w:val="000000"/>
                    <w:lang w:eastAsia="es-ES"/>
                  </w:rPr>
                  <w:t>6937</w:t>
                </w:r>
              </w:p>
            </w:tc>
            <w:tc>
              <w:tcPr>
                <w:tcW w:w="901" w:type="dxa"/>
                <w:noWrap/>
                <w:hideMark/>
              </w:tcPr>
              <w:p w:rsidR="00BE3139" w:rsidRPr="00BE3139" w:rsidRDefault="00BE3139" w:rsidP="00BE313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BE3139">
                  <w:rPr>
                    <w:rFonts w:ascii="Calibri" w:eastAsia="Times New Roman" w:hAnsi="Calibri" w:cs="Times New Roman"/>
                    <w:b/>
                    <w:bCs/>
                    <w:color w:val="000000"/>
                    <w:lang w:eastAsia="es-ES"/>
                  </w:rPr>
                  <w:t>67830</w:t>
                </w:r>
              </w:p>
            </w:tc>
          </w:tr>
        </w:tbl>
        <w:p w:rsidR="00746BD5" w:rsidRDefault="00746BD5" w:rsidP="00DA6CCE">
          <w:pPr>
            <w:pStyle w:val="Prrafodelista"/>
            <w:tabs>
              <w:tab w:val="left" w:pos="3456"/>
            </w:tabs>
            <w:jc w:val="both"/>
            <w:rPr>
              <w:b/>
            </w:rPr>
          </w:pPr>
        </w:p>
        <w:p w:rsidR="00746BD5" w:rsidRDefault="00746BD5" w:rsidP="00BE3139">
          <w:pPr>
            <w:pStyle w:val="Prrafodelista"/>
            <w:tabs>
              <w:tab w:val="left" w:pos="3456"/>
            </w:tabs>
            <w:jc w:val="center"/>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Pr="006E2A0B" w:rsidRDefault="00B8002C" w:rsidP="006E2A0B">
          <w:pPr>
            <w:tabs>
              <w:tab w:val="left" w:pos="3456"/>
            </w:tabs>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 xml:space="preserve">siendo el Grupo de </w:t>
          </w:r>
          <w:r w:rsidR="00286C91">
            <w:t xml:space="preserve">Acción Local </w:t>
          </w:r>
          <w:r w:rsidR="006E2A0B">
            <w:t>CEDER ORIENTAL HUESCA</w:t>
          </w:r>
          <w:r w:rsidR="00F916A3">
            <w:t>.</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Default="003D4E91" w:rsidP="00DA6CCE">
          <w:pPr>
            <w:pStyle w:val="Prrafodelista"/>
            <w:tabs>
              <w:tab w:val="left" w:pos="3456"/>
            </w:tabs>
            <w:ind w:left="284"/>
            <w:jc w:val="both"/>
          </w:pPr>
          <w:r>
            <w:t xml:space="preserve">            Como vemos se trata de un grupo </w:t>
          </w:r>
          <w:r w:rsidR="00924E6A">
            <w:t>formado por la</w:t>
          </w:r>
          <w:r w:rsidR="00286C91">
            <w:t xml:space="preserve"> </w:t>
          </w:r>
          <w:r w:rsidR="000A6EFE">
            <w:t>agrupación de comarcas del Bajo Cinca, Cinca medio y La Litera</w:t>
          </w:r>
          <w:r w:rsidR="00286C91">
            <w:t xml:space="preserve"> </w:t>
          </w:r>
          <w:r w:rsidR="009508AE">
            <w:t xml:space="preserve"> </w:t>
          </w:r>
          <w:r w:rsidR="00924E6A">
            <w:t>y engloba un total de</w:t>
          </w:r>
          <w:r w:rsidR="00286C91">
            <w:t xml:space="preserve"> </w:t>
          </w:r>
          <w:r w:rsidR="000A6EFE">
            <w:t>34</w:t>
          </w:r>
          <w:r w:rsidR="00286C91">
            <w:t xml:space="preserve"> </w:t>
          </w:r>
          <w:r w:rsidR="00924E6A">
            <w:t>municipios.</w:t>
          </w:r>
        </w:p>
        <w:p w:rsidR="00D139A2" w:rsidRPr="003D4E91" w:rsidRDefault="00455736" w:rsidP="006F0720">
          <w:pPr>
            <w:pStyle w:val="Prrafodelista"/>
            <w:tabs>
              <w:tab w:val="left" w:pos="3456"/>
            </w:tabs>
            <w:ind w:left="284"/>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6pt;height:484.8pt">
                <v:imagedata r:id="rId36" o:title="LOCALIZACIÓN"/>
              </v:shape>
            </w:pict>
          </w:r>
        </w:p>
        <w:p w:rsidR="003D4E91" w:rsidRPr="00625167" w:rsidRDefault="003D4E91" w:rsidP="00452FBF">
          <w:pPr>
            <w:pStyle w:val="Prrafodelista"/>
            <w:tabs>
              <w:tab w:val="left" w:pos="3456"/>
            </w:tabs>
            <w:ind w:left="284"/>
            <w:jc w:val="center"/>
            <w:rPr>
              <w:b/>
            </w:rPr>
          </w:pPr>
        </w:p>
        <w:p w:rsidR="00B96BF7" w:rsidRDefault="00B96BF7" w:rsidP="00286C91">
          <w:pPr>
            <w:jc w:val="both"/>
          </w:pPr>
        </w:p>
        <w:p w:rsidR="0073084C" w:rsidRDefault="00924E6A" w:rsidP="00455736">
          <w:pPr>
            <w:ind w:firstLine="708"/>
            <w:jc w:val="both"/>
          </w:pPr>
          <w:r>
            <w:lastRenderedPageBreak/>
            <w:t>El grupo de acción local</w:t>
          </w:r>
          <w:r w:rsidR="00737319">
            <w:t xml:space="preserve"> </w:t>
          </w:r>
          <w:r w:rsidR="00455736">
            <w:t xml:space="preserve">CEDER ORIENTAL HUESCA está formado por la agrupación de comarcas del </w:t>
          </w:r>
          <w:r w:rsidR="00455736">
            <w:t>Bajo Cinca,</w:t>
          </w:r>
          <w:r w:rsidR="00455736">
            <w:t xml:space="preserve"> el</w:t>
          </w:r>
          <w:r w:rsidR="00455736">
            <w:t xml:space="preserve"> Cinca medio y La Litera</w:t>
          </w:r>
          <w:r w:rsidR="00455736">
            <w:t xml:space="preserve">. En general se trata de un sector que no presenta altitudes muy destacadas. El Bajo Cinca se caracteriza principalmente por poseer un tipo de relieve formado por la colmatación de sedimentos de los ríos Cinca, </w:t>
          </w:r>
          <w:r w:rsidR="00455736">
            <w:t>Alcanadre, Segre y Ebro</w:t>
          </w:r>
          <w:r w:rsidR="00455736">
            <w:t xml:space="preserve"> dando lugar amplios fondos de valle. En el caso del Cinca medio </w:t>
          </w:r>
          <w:r w:rsidR="00455736">
            <w:t>encontramos los cerros, sasos y m</w:t>
          </w:r>
          <w:r w:rsidR="00455736">
            <w:t xml:space="preserve">uelas de la formación </w:t>
          </w:r>
          <w:proofErr w:type="spellStart"/>
          <w:r w:rsidR="00455736">
            <w:t>Sariñena</w:t>
          </w:r>
          <w:proofErr w:type="spellEnd"/>
          <w:r w:rsidR="00455736">
            <w:t xml:space="preserve"> y, por último lugar, en La Litera encontramos </w:t>
          </w:r>
          <w:r w:rsidR="00455736">
            <w:t xml:space="preserve">dos grandes unidades geológicas: las Sierras </w:t>
          </w:r>
          <w:proofErr w:type="spellStart"/>
          <w:r w:rsidR="00455736">
            <w:t>Subpirenaicas</w:t>
          </w:r>
          <w:proofErr w:type="spellEnd"/>
          <w:r w:rsidR="00455736">
            <w:t xml:space="preserve"> y la Depresión del Ebro</w:t>
          </w:r>
          <w:r w:rsidR="00455736">
            <w:t>.</w:t>
          </w:r>
        </w:p>
        <w:p w:rsidR="003D4E91" w:rsidRDefault="00455736" w:rsidP="00452FBF">
          <w:pPr>
            <w:jc w:val="center"/>
            <w:rPr>
              <w:b/>
            </w:rPr>
          </w:pPr>
          <w:bookmarkStart w:id="0" w:name="_GoBack"/>
          <w:bookmarkEnd w:id="0"/>
          <w:r>
            <w:rPr>
              <w:b/>
            </w:rPr>
            <w:pict>
              <v:shape id="_x0000_i1039" type="#_x0000_t75" style="width:369.6pt;height:523.2pt">
                <v:imagedata r:id="rId37" o:title="medio físico"/>
              </v:shape>
            </w:pict>
          </w:r>
        </w:p>
        <w:p w:rsidR="009508AE" w:rsidRDefault="009508AE" w:rsidP="00DA6CCE">
          <w:pPr>
            <w:jc w:val="both"/>
            <w:rPr>
              <w:b/>
            </w:rPr>
          </w:pPr>
        </w:p>
        <w:p w:rsidR="00943066" w:rsidRDefault="00943066" w:rsidP="00DA6CCE">
          <w:pPr>
            <w:jc w:val="both"/>
            <w:rPr>
              <w:b/>
            </w:rPr>
          </w:pPr>
        </w:p>
        <w:p w:rsidR="00592215" w:rsidRDefault="003D4E91" w:rsidP="00891EB9">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090BB0">
            <w:t>CEDER ORIENTAL HUESCA</w:t>
          </w:r>
          <w:r w:rsidR="00891EB9">
            <w:t xml:space="preserve"> </w:t>
          </w:r>
          <w:r w:rsidR="000A6D47">
            <w:t xml:space="preserve"> </w:t>
          </w:r>
          <w:r w:rsidR="00BE5550">
            <w:t>vemos como la mayoría de municipios presentan tasas de masculinida</w:t>
          </w:r>
          <w:r w:rsidR="00E81C69">
            <w:t xml:space="preserve">d superiores a las de feminidad. </w:t>
          </w:r>
          <w:r w:rsidR="00090BB0">
            <w:t xml:space="preserve">A excepción de </w:t>
          </w:r>
          <w:proofErr w:type="spellStart"/>
          <w:r w:rsidR="00090BB0">
            <w:t>Alfántega</w:t>
          </w:r>
          <w:proofErr w:type="spellEnd"/>
          <w:r w:rsidR="00090BB0">
            <w:t xml:space="preserve"> y </w:t>
          </w:r>
          <w:proofErr w:type="spellStart"/>
          <w:r w:rsidR="00090BB0">
            <w:t>Azanuy-Alins</w:t>
          </w:r>
          <w:proofErr w:type="spellEnd"/>
          <w:r w:rsidR="00090BB0">
            <w:t>.</w:t>
          </w:r>
        </w:p>
        <w:p w:rsidR="0073084C" w:rsidRDefault="00455736" w:rsidP="00DA6CCE">
          <w:pPr>
            <w:jc w:val="both"/>
            <w:rPr>
              <w:b/>
            </w:rPr>
          </w:pPr>
          <w:r>
            <w:rPr>
              <w:b/>
            </w:rPr>
            <w:pict>
              <v:shape id="_x0000_i1027" type="#_x0000_t75" style="width:409.6pt;height:579.2pt">
                <v:imagedata r:id="rId38" o:title="DENSI_FEMMASC"/>
              </v:shape>
            </w:pict>
          </w:r>
        </w:p>
        <w:p w:rsidR="009A7493" w:rsidRDefault="009A7493" w:rsidP="00DA6CCE">
          <w:pPr>
            <w:jc w:val="both"/>
            <w:rPr>
              <w:b/>
            </w:rPr>
          </w:pPr>
        </w:p>
        <w:p w:rsidR="00592215" w:rsidRPr="00592215" w:rsidRDefault="00592215" w:rsidP="0073084C">
          <w:pPr>
            <w:ind w:firstLine="708"/>
            <w:jc w:val="both"/>
          </w:pPr>
          <w:r>
            <w:lastRenderedPageBreak/>
            <w:t xml:space="preserve">En cuanto al </w:t>
          </w:r>
          <w:r w:rsidRPr="005C032F">
            <w:rPr>
              <w:b/>
            </w:rPr>
            <w:t>envejecimiento</w:t>
          </w:r>
          <w:r>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455736" w:rsidP="00BE533F">
          <w:pPr>
            <w:tabs>
              <w:tab w:val="left" w:pos="1985"/>
            </w:tabs>
            <w:jc w:val="center"/>
            <w:rPr>
              <w:b/>
            </w:rPr>
          </w:pPr>
          <w:r>
            <w:rPr>
              <w:b/>
              <w:noProof/>
              <w:lang w:eastAsia="es-ES"/>
            </w:rPr>
            <w:pict>
              <v:shape id="_x0000_i1028" type="#_x0000_t75" style="width:381.6pt;height:540.8pt">
                <v:imagedata r:id="rId39" o:title="ENVEJARAGON_CEDERORIENTALHUESCA"/>
              </v:shape>
            </w:pict>
          </w:r>
        </w:p>
        <w:p w:rsidR="00B4331E" w:rsidRDefault="00592215" w:rsidP="00DA6CCE">
          <w:pPr>
            <w:jc w:val="both"/>
          </w:pPr>
          <w:r>
            <w:rPr>
              <w:b/>
            </w:rPr>
            <w:tab/>
          </w:r>
          <w:r w:rsidR="00F916A3">
            <w:t xml:space="preserve">  </w:t>
          </w:r>
          <w:r w:rsidR="009A7493">
            <w:t xml:space="preserve">En </w:t>
          </w:r>
          <w:r w:rsidR="00BE533F">
            <w:t>verde</w:t>
          </w:r>
          <w:r w:rsidR="009A7493">
            <w:t xml:space="preserve"> encontramos representados aquellos municipios</w:t>
          </w:r>
          <w:r w:rsidR="00BE533F">
            <w:t xml:space="preserve"> cuya media de envejecimiento es inferior a la media total de Aragón siendo este el caso de </w:t>
          </w:r>
          <w:proofErr w:type="spellStart"/>
          <w:r w:rsidR="00BE533F">
            <w:t>Frága</w:t>
          </w:r>
          <w:proofErr w:type="spellEnd"/>
          <w:r w:rsidR="00BE533F">
            <w:t xml:space="preserve"> (80%), Monzón (88,5%</w:t>
          </w:r>
          <w:r w:rsidR="00855FEF">
            <w:t>) y</w:t>
          </w:r>
          <w:r w:rsidR="00BE533F">
            <w:t xml:space="preserve"> </w:t>
          </w:r>
          <w:proofErr w:type="spellStart"/>
          <w:r w:rsidR="00BE533F">
            <w:t>Binéfar</w:t>
          </w:r>
          <w:proofErr w:type="spellEnd"/>
          <w:r w:rsidR="00BE533F">
            <w:t xml:space="preserve"> (97,1%</w:t>
          </w:r>
          <w:r w:rsidR="00855FEF">
            <w:t>),</w:t>
          </w:r>
          <w:r w:rsidR="009A7493">
            <w:t xml:space="preserve"> </w:t>
          </w:r>
          <w:r w:rsidR="00F916A3">
            <w:t>e</w:t>
          </w:r>
          <w:r w:rsidR="00AB3ED5">
            <w:t>n amarillo</w:t>
          </w:r>
          <w:r w:rsidR="00085C12">
            <w:t xml:space="preserve"> </w:t>
          </w:r>
          <w:r>
            <w:t xml:space="preserve"> </w:t>
          </w:r>
          <w:r w:rsidR="009A7493">
            <w:t xml:space="preserve">deberían mostrarse aquellos municipios con valores semejantes </w:t>
          </w:r>
          <w:r>
            <w:t>a la media de Aragón</w:t>
          </w:r>
          <w:r w:rsidR="00855FEF">
            <w:t xml:space="preserve">, </w:t>
          </w:r>
          <w:proofErr w:type="spellStart"/>
          <w:r w:rsidR="00855FEF">
            <w:t>Vencillón</w:t>
          </w:r>
          <w:proofErr w:type="spellEnd"/>
          <w:r w:rsidR="00855FEF">
            <w:t xml:space="preserve"> (108,7%) es el municipio que cumple este requisito</w:t>
          </w:r>
          <w:r w:rsidR="0073084C">
            <w:t>.</w:t>
          </w:r>
          <w:r w:rsidR="00D1226C">
            <w:t xml:space="preserve"> </w:t>
          </w:r>
          <w:r w:rsidR="0073084C">
            <w:t>Y</w:t>
          </w:r>
          <w:r>
            <w:t xml:space="preserve">, en el último </w:t>
          </w:r>
          <w:r w:rsidR="00F916A3">
            <w:t>lugar</w:t>
          </w:r>
          <w:r>
            <w:t xml:space="preserve">, los valores que se representan en diferentes tonalidades de </w:t>
          </w:r>
          <w:r>
            <w:lastRenderedPageBreak/>
            <w:t xml:space="preserve">rojo son aquellos </w:t>
          </w:r>
          <w:r w:rsidR="00AB3ED5">
            <w:t xml:space="preserve">que se encuentran por encima de la media. Con estas tonalidades hemos querido resaltar aquellos municipios que dentro de tasas altas de envejecimiento tienen valores </w:t>
          </w:r>
          <w:r w:rsidR="005C032F">
            <w:t>más</w:t>
          </w:r>
          <w:r w:rsidR="00AB3ED5">
            <w:t xml:space="preserve"> alarmantes y cuales todavía no tanto</w:t>
          </w:r>
          <w:r w:rsidR="000B686B">
            <w:t xml:space="preserve">. </w:t>
          </w:r>
          <w:proofErr w:type="spellStart"/>
          <w:r w:rsidR="000D4777">
            <w:t>Candasnos</w:t>
          </w:r>
          <w:proofErr w:type="spellEnd"/>
          <w:r w:rsidR="000D4777">
            <w:t xml:space="preserve"> (2900%), </w:t>
          </w:r>
          <w:proofErr w:type="spellStart"/>
          <w:r w:rsidR="000D4777">
            <w:t>Baélls</w:t>
          </w:r>
          <w:proofErr w:type="spellEnd"/>
          <w:r w:rsidR="000D4777">
            <w:t xml:space="preserve"> (766,7%), </w:t>
          </w:r>
          <w:proofErr w:type="spellStart"/>
          <w:r w:rsidR="000D4777">
            <w:t>Camporrélls</w:t>
          </w:r>
          <w:proofErr w:type="spellEnd"/>
          <w:r w:rsidR="000D4777">
            <w:t xml:space="preserve"> (636,4%), </w:t>
          </w:r>
          <w:proofErr w:type="spellStart"/>
          <w:r w:rsidR="000D4777">
            <w:t>Baldellou</w:t>
          </w:r>
          <w:proofErr w:type="spellEnd"/>
          <w:r w:rsidR="000D4777">
            <w:t xml:space="preserve"> (587,5%) y Peralta de </w:t>
          </w:r>
          <w:proofErr w:type="spellStart"/>
          <w:r w:rsidR="000D4777">
            <w:t>Calasaz</w:t>
          </w:r>
          <w:proofErr w:type="spellEnd"/>
          <w:r w:rsidR="000D4777">
            <w:t xml:space="preserve"> (422,7%) </w:t>
          </w:r>
          <w:r w:rsidR="00F916A3">
            <w:t>son los</w:t>
          </w:r>
          <w:r w:rsidR="00B4331E">
            <w:t xml:space="preserve"> municipio</w:t>
          </w:r>
          <w:r w:rsidR="00F916A3">
            <w:t>s</w:t>
          </w:r>
          <w:r w:rsidR="00B4331E">
            <w:t xml:space="preserve"> que mayor envejecimiento del grupo presenta</w:t>
          </w:r>
          <w:r w:rsidR="00F916A3">
            <w:t>n</w:t>
          </w:r>
          <w:r w:rsidR="00B4331E">
            <w:t xml:space="preserve"> situándose </w:t>
          </w:r>
          <w:r w:rsidR="000725D3">
            <w:t xml:space="preserve">en una </w:t>
          </w:r>
          <w:r w:rsidR="00B4331E">
            <w:t xml:space="preserve">posición </w:t>
          </w:r>
          <w:r w:rsidR="000725D3">
            <w:t xml:space="preserve"> alarmante en cuanto a la media de envejecimien</w:t>
          </w:r>
          <w:r w:rsidR="0012353F">
            <w:t>to de Aragón.</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455736" w:rsidP="00452FBF">
          <w:pPr>
            <w:jc w:val="center"/>
          </w:pPr>
          <w:r>
            <w:pict>
              <v:shape id="_x0000_i1029" type="#_x0000_t75" style="width:310.4pt;height:439.2pt">
                <v:imagedata r:id="rId40" o:title="envej_paro"/>
              </v:shape>
            </w:pict>
          </w:r>
        </w:p>
        <w:p w:rsidR="00731030" w:rsidRDefault="005C032F" w:rsidP="00DA6CCE">
          <w:pPr>
            <w:jc w:val="both"/>
          </w:pPr>
          <w:r>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r w:rsidR="00D1226C">
            <w:t xml:space="preserve"> </w:t>
          </w:r>
        </w:p>
        <w:p w:rsidR="005C032F" w:rsidRDefault="005C032F" w:rsidP="00DA6CCE">
          <w:pPr>
            <w:jc w:val="both"/>
          </w:pPr>
          <w:r>
            <w:lastRenderedPageBreak/>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455736" w:rsidP="00452FBF">
          <w:pPr>
            <w:jc w:val="center"/>
          </w:pPr>
          <w:r>
            <w:pict>
              <v:shape id="_x0000_i1030" type="#_x0000_t75" style="width:411.2pt;height:580.8pt">
                <v:imagedata r:id="rId41" o:title="mascu_envej"/>
              </v:shape>
            </w:pict>
          </w:r>
        </w:p>
        <w:p w:rsidR="005C032F" w:rsidRDefault="005C032F" w:rsidP="00DA6CCE">
          <w:pPr>
            <w:jc w:val="both"/>
          </w:pPr>
          <w:r>
            <w:tab/>
            <w:t xml:space="preserve">Al representar los valores de las variables en el mapa vemos como prácticamente las tasas de masculinidad </w:t>
          </w:r>
          <w:r w:rsidR="00923EF1">
            <w:t>son muy parecidas en todos los lugares y, aunque se reducen algo en aquellos municipios donde el índice de envejecimiento es menor, no podemos decir que exista una relación significativa  entre ambas variables.</w:t>
          </w:r>
        </w:p>
        <w:p w:rsidR="005C032F" w:rsidRDefault="00A870E9" w:rsidP="00DA6CCE">
          <w:pPr>
            <w:ind w:firstLine="708"/>
            <w:jc w:val="both"/>
          </w:pPr>
          <w:r>
            <w:lastRenderedPageBreak/>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455736" w:rsidP="00CE6A13">
          <w:pPr>
            <w:ind w:firstLine="426"/>
            <w:jc w:val="center"/>
          </w:pPr>
          <w:r>
            <w:rPr>
              <w:noProof/>
              <w:lang w:eastAsia="es-ES"/>
            </w:rPr>
            <w:pict>
              <v:shape id="_x0000_i1031" type="#_x0000_t75" style="width:344.8pt;height:488pt">
                <v:imagedata r:id="rId42" o:title="activeconom"/>
              </v:shape>
            </w:pict>
          </w:r>
        </w:p>
        <w:p w:rsidR="00DA6CCE" w:rsidRDefault="00DA6CCE" w:rsidP="0089418C">
          <w:pPr>
            <w:ind w:firstLine="708"/>
            <w:jc w:val="both"/>
          </w:pPr>
          <w:r>
            <w:t xml:space="preserve">En este primer mapa vemos una clara diferenciación en función de las diferentes actividades económicas desarrolladas en los municipios que se engloban en el grupo </w:t>
          </w:r>
          <w:r w:rsidR="00EB1834">
            <w:t>CEDE</w:t>
          </w:r>
          <w:r w:rsidR="008828FA">
            <w:t>R ORIENTAL HUESCA</w:t>
          </w:r>
          <w:r w:rsidR="00EB1834">
            <w:t xml:space="preserve"> </w:t>
          </w:r>
          <w:r>
            <w:t xml:space="preserve">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 xml:space="preserve">marias aumenta su peso respecto al </w:t>
          </w:r>
          <w:r w:rsidR="0089418C">
            <w:lastRenderedPageBreak/>
            <w:t>del sector servicios en los municipios con densidades más bajas aunque nunca llega a superarlo.</w:t>
          </w:r>
        </w:p>
        <w:p w:rsidR="00F6732C" w:rsidRDefault="00455736" w:rsidP="00DA6CCE">
          <w:pPr>
            <w:ind w:firstLine="284"/>
            <w:jc w:val="center"/>
          </w:pPr>
          <w:r>
            <w:pict>
              <v:shape id="_x0000_i1032" type="#_x0000_t75" style="width:357.6pt;height:506.4pt">
                <v:imagedata r:id="rId43" o:title="DENSI_PARO"/>
              </v:shape>
            </w:pict>
          </w:r>
        </w:p>
        <w:p w:rsidR="00277627" w:rsidRPr="00592215" w:rsidRDefault="00B07BC3" w:rsidP="00BC2390">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8828FA">
            <w:t xml:space="preserve"> Monz</w:t>
          </w:r>
          <w:r w:rsidR="005E0624">
            <w:t xml:space="preserve">ón y Fraga </w:t>
          </w:r>
          <w:r w:rsidR="00B55AEC">
            <w:t>son los</w:t>
          </w:r>
          <w:r w:rsidR="00F74E34">
            <w:t xml:space="preserve"> municipio</w:t>
          </w:r>
          <w:r w:rsidR="00B55AEC">
            <w:t>s</w:t>
          </w:r>
          <w:r w:rsidR="00EB7E4E">
            <w:t xml:space="preserve"> que </w:t>
          </w:r>
          <w:r w:rsidR="00F74E34">
            <w:t>mayor tasa de paro presenta</w:t>
          </w:r>
          <w:r w:rsidR="00B55AEC">
            <w:t>n</w:t>
          </w:r>
          <w:r w:rsidR="00F74E34">
            <w:t xml:space="preserve"> </w:t>
          </w:r>
          <w:r w:rsidR="00EB7E4E">
            <w:t xml:space="preserve"> de todo el grupo</w:t>
          </w:r>
          <w:r w:rsidR="00D0138C">
            <w:t xml:space="preserve"> </w:t>
          </w:r>
          <w:r w:rsidR="00525FE6">
            <w:t>CEDE</w:t>
          </w:r>
          <w:r w:rsidR="00EB1834">
            <w:t>R</w:t>
          </w:r>
          <w:r w:rsidR="00525FE6">
            <w:t xml:space="preserve"> </w:t>
          </w:r>
          <w:r w:rsidR="008828FA">
            <w:t>ORIENTAL HUESCA</w:t>
          </w:r>
          <w:r w:rsidR="00093C75">
            <w:t>.</w:t>
          </w:r>
        </w:p>
        <w:p w:rsidR="005047FE" w:rsidRDefault="00DA6CCE" w:rsidP="00DA6CCE">
          <w:pPr>
            <w:ind w:firstLine="284"/>
            <w:jc w:val="both"/>
          </w:pPr>
          <w:r>
            <w:lastRenderedPageBreak/>
            <w:t xml:space="preserve">Pero, más allá de lo que sería conocer la tasa de paro total sobre la densidad de población en el grupo </w:t>
          </w:r>
          <w:r w:rsidR="00333763">
            <w:t>CEDE</w:t>
          </w:r>
          <w:r w:rsidR="0046445A">
            <w:t>R ORIENTAL HUESCA</w:t>
          </w:r>
          <w:r w:rsidR="00502CCF">
            <w:t xml:space="preserve"> </w:t>
          </w:r>
          <w:r>
            <w:t>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455736" w:rsidP="00452FBF">
      <w:pPr>
        <w:jc w:val="center"/>
      </w:pPr>
      <w:r>
        <w:pict>
          <v:shape id="_x0000_i1033" type="#_x0000_t75" style="width:367.2pt;height:519.2pt">
            <v:imagedata r:id="rId44" o:title="densi_parohommuj"/>
          </v:shape>
        </w:pict>
      </w:r>
    </w:p>
    <w:p w:rsidR="00333763" w:rsidRDefault="00452FBF" w:rsidP="00452FBF">
      <w:pPr>
        <w:jc w:val="both"/>
      </w:pPr>
      <w:r>
        <w:tab/>
        <w:t xml:space="preserve">En este caso vemos como al establecer la diferenciación en el paro de hombres y mujeres encontramos </w:t>
      </w:r>
      <w:r w:rsidR="00F06F79">
        <w:t>que tanto existen municipios donde el paro en hombres es superior al de mujeres y viceversa además de municipios donde solo existe paro en hombre o solo en mujeres.</w:t>
      </w:r>
    </w:p>
    <w:p w:rsidR="00A954F5" w:rsidRDefault="00A954F5" w:rsidP="0046445A">
      <w:pPr>
        <w:ind w:firstLine="708"/>
        <w:jc w:val="both"/>
      </w:pPr>
      <w:r>
        <w:lastRenderedPageBreak/>
        <w:t xml:space="preserve">En cuanto a la tasa de feminidad respecto a la tasa de paro en mujeres, podemos ver como en el mapa apenas se aprecian áreas con tasas de paro elevadas en mujeres a excepción del caso de  </w:t>
      </w:r>
      <w:r w:rsidR="0046445A">
        <w:t xml:space="preserve">Monzón (93,8%), Fraga (56,17%) y </w:t>
      </w:r>
      <w:proofErr w:type="spellStart"/>
      <w:r w:rsidR="0046445A">
        <w:t>Binéfar</w:t>
      </w:r>
      <w:proofErr w:type="spellEnd"/>
      <w:r w:rsidR="0046445A">
        <w:t xml:space="preserve"> (</w:t>
      </w:r>
      <w:r w:rsidR="00123776">
        <w:t>36,56%</w:t>
      </w:r>
      <w:r w:rsidR="0046445A">
        <w:t>)</w:t>
      </w:r>
      <w:r w:rsidR="00D8012D">
        <w:t>.</w:t>
      </w:r>
    </w:p>
    <w:p w:rsidR="00B522B6" w:rsidRDefault="00455736" w:rsidP="006C1ADA">
      <w:pPr>
        <w:jc w:val="center"/>
      </w:pPr>
      <w:r>
        <w:pict>
          <v:shape id="_x0000_i1034" type="#_x0000_t75" style="width:424.8pt;height:600.8pt">
            <v:imagedata r:id="rId45" o:title="fem_paromuj"/>
          </v:shape>
        </w:pict>
      </w:r>
    </w:p>
    <w:p w:rsidR="00BF1814" w:rsidRDefault="00BF1814" w:rsidP="006C1ADA">
      <w:pPr>
        <w:jc w:val="center"/>
      </w:pPr>
    </w:p>
    <w:p w:rsidR="00BF1814" w:rsidRDefault="00BF1814" w:rsidP="006C1ADA">
      <w:pPr>
        <w:jc w:val="center"/>
      </w:pPr>
    </w:p>
    <w:p w:rsidR="00A954F5"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s es que, en su mayoría</w:t>
      </w:r>
      <w:r w:rsidR="00B522B6">
        <w:t xml:space="preserve">, </w:t>
      </w:r>
      <w:r w:rsidR="00806846">
        <w:t xml:space="preserve">las mayores tasas de paro se concentran en las áreas donde existe una densidad de población media-alta o alta. Aquellos municipios que presentan las mayores cifras de paro en hombres son: </w:t>
      </w:r>
      <w:r w:rsidR="00AA5A16">
        <w:t xml:space="preserve">Monzón (82,44%), Fraga (56,77%) y </w:t>
      </w:r>
      <w:proofErr w:type="spellStart"/>
      <w:r w:rsidR="00AA5A16">
        <w:t>Binéfar</w:t>
      </w:r>
      <w:proofErr w:type="spellEnd"/>
      <w:r w:rsidR="00AA5A16">
        <w:t xml:space="preserve"> (29,05%).</w:t>
      </w:r>
    </w:p>
    <w:p w:rsidR="0010130B" w:rsidRDefault="00455736" w:rsidP="00EE410C">
      <w:pPr>
        <w:jc w:val="center"/>
      </w:pPr>
      <w:r>
        <w:pict>
          <v:shape id="_x0000_i1035" type="#_x0000_t75" style="width:424.8pt;height:600.8pt">
            <v:imagedata r:id="rId46" o:title="mascu_parohom"/>
          </v:shape>
        </w:pict>
      </w:r>
    </w:p>
    <w:p w:rsidR="00EE410C" w:rsidRDefault="00EE410C" w:rsidP="006A02CE"/>
    <w:p w:rsidR="006E4407" w:rsidRDefault="0010130B" w:rsidP="00A744E6">
      <w:pPr>
        <w:ind w:firstLine="993"/>
        <w:jc w:val="both"/>
      </w:pPr>
      <w:r>
        <w:lastRenderedPageBreak/>
        <w:t xml:space="preserve">Otra última relación que nos resultó interesante a la hora de realizar el análisis sobre </w:t>
      </w:r>
      <w:r w:rsidR="001F60B6">
        <w:t xml:space="preserve">la tasa de paro en el grupo </w:t>
      </w:r>
      <w:r w:rsidR="001F0AE8">
        <w:t>CEDER ORIENTAL HUESCA</w:t>
      </w:r>
      <w:r w:rsidR="00A51B0F">
        <w:t xml:space="preserve"> </w:t>
      </w:r>
      <w:r>
        <w:t>fue la del paro total y la tasa de masculinidad</w:t>
      </w:r>
      <w:r w:rsidRPr="0010130B">
        <w:t xml:space="preserve"> </w:t>
      </w:r>
      <w:r w:rsidR="00A744E6">
        <w:t xml:space="preserve">de cada </w:t>
      </w:r>
      <w:r>
        <w:t xml:space="preserve">municipio. </w:t>
      </w:r>
    </w:p>
    <w:p w:rsidR="0010130B" w:rsidRDefault="00455736" w:rsidP="00920468">
      <w:pPr>
        <w:ind w:firstLine="567"/>
        <w:jc w:val="both"/>
      </w:pPr>
      <w:r>
        <w:pict>
          <v:shape id="_x0000_i1036" type="#_x0000_t75" style="width:423.2pt;height:598.4pt">
            <v:imagedata r:id="rId47" o:title="MASCU_PARO"/>
          </v:shape>
        </w:pict>
      </w:r>
    </w:p>
    <w:p w:rsidR="00A51B0F" w:rsidRDefault="0010130B" w:rsidP="00600947">
      <w:pPr>
        <w:ind w:firstLine="708"/>
        <w:jc w:val="both"/>
      </w:pPr>
      <w:r>
        <w:t xml:space="preserve">Al relacionar estas variables observamos como las áreas con una tasa de masculinidad </w:t>
      </w:r>
      <w:r w:rsidR="005014DE">
        <w:t>media</w:t>
      </w:r>
      <w:r w:rsidR="00A36B27">
        <w:t xml:space="preserve"> o media-alta</w:t>
      </w:r>
      <w:r w:rsidR="00A51B0F">
        <w:t xml:space="preserve"> presentan valores de paro mayores.</w:t>
      </w: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455736" w:rsidP="006A02CE">
      <w:pPr>
        <w:jc w:val="center"/>
      </w:pPr>
      <w:r>
        <w:pict>
          <v:shape id="_x0000_i1037" type="#_x0000_t75" style="width:424.8pt;height:600.8pt">
            <v:imagedata r:id="rId48" o:title="ALTASSS_HOMMUJ2014"/>
          </v:shape>
        </w:pict>
      </w:r>
    </w:p>
    <w:p w:rsidR="007C3A15" w:rsidRDefault="004E34E8" w:rsidP="001F60B6">
      <w:pPr>
        <w:ind w:firstLine="424"/>
        <w:jc w:val="both"/>
      </w:pPr>
      <w:r>
        <w:t xml:space="preserve">Analizando el mapa vemos como </w:t>
      </w:r>
      <w:r w:rsidR="00B83F8E">
        <w:t xml:space="preserve">casi </w:t>
      </w:r>
      <w:r w:rsidR="0069681C">
        <w:t xml:space="preserve">todos los municipios muestran </w:t>
      </w:r>
      <w:r w:rsidR="00920468">
        <w:t xml:space="preserve">una clara mayoría de altas a la </w:t>
      </w:r>
      <w:r w:rsidR="0069681C">
        <w:t>seguridad social durante el periodo de septiembre de 2014 en hombres respecto a mujeres</w:t>
      </w:r>
      <w:r w:rsidR="00A36B27">
        <w:t>.</w:t>
      </w:r>
      <w:r w:rsidR="006A02CE">
        <w:t xml:space="preserve"> </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29D" w:rsidRDefault="008C129D" w:rsidP="005047FE">
      <w:pPr>
        <w:spacing w:after="0" w:line="240" w:lineRule="auto"/>
      </w:pPr>
      <w:r>
        <w:separator/>
      </w:r>
    </w:p>
  </w:endnote>
  <w:endnote w:type="continuationSeparator" w:id="0">
    <w:p w:rsidR="008C129D" w:rsidRDefault="008C129D"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455736" w:rsidRPr="00455736">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12</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9"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30"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1"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3"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455736" w:rsidRPr="00455736">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12</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29D" w:rsidRDefault="008C129D" w:rsidP="005047FE">
      <w:pPr>
        <w:spacing w:after="0" w:line="240" w:lineRule="auto"/>
      </w:pPr>
      <w:r>
        <w:separator/>
      </w:r>
    </w:p>
  </w:footnote>
  <w:footnote w:type="continuationSeparator" w:id="0">
    <w:p w:rsidR="008C129D" w:rsidRDefault="008C129D"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08683B" w:rsidP="00CD1578">
              <w:pPr>
                <w:pStyle w:val="Encabezado"/>
                <w:jc w:val="center"/>
                <w:rPr>
                  <w:caps/>
                  <w:color w:val="FFFFFF" w:themeColor="background1"/>
                </w:rPr>
              </w:pPr>
              <w:r>
                <w:rPr>
                  <w:caps/>
                  <w:color w:val="FFFFFF" w:themeColor="background1"/>
                </w:rPr>
                <w:t>Caracterización territorial de Zona Oriental de Huesca. Bajo Cinca-Cinca Medio-La Litera (Ceder Zona Oriental de Huesca)</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1487D"/>
    <w:rsid w:val="000218A7"/>
    <w:rsid w:val="00046D44"/>
    <w:rsid w:val="000507AF"/>
    <w:rsid w:val="00055193"/>
    <w:rsid w:val="00055955"/>
    <w:rsid w:val="00064503"/>
    <w:rsid w:val="00070D7B"/>
    <w:rsid w:val="000725D3"/>
    <w:rsid w:val="00077359"/>
    <w:rsid w:val="00081AD1"/>
    <w:rsid w:val="00085C12"/>
    <w:rsid w:val="0008683B"/>
    <w:rsid w:val="00090BB0"/>
    <w:rsid w:val="00093C75"/>
    <w:rsid w:val="00094A89"/>
    <w:rsid w:val="000A6D47"/>
    <w:rsid w:val="000A6EFE"/>
    <w:rsid w:val="000B128B"/>
    <w:rsid w:val="000B4043"/>
    <w:rsid w:val="000B686B"/>
    <w:rsid w:val="000D4777"/>
    <w:rsid w:val="000E2003"/>
    <w:rsid w:val="000E24E8"/>
    <w:rsid w:val="0010130B"/>
    <w:rsid w:val="00106908"/>
    <w:rsid w:val="0011532C"/>
    <w:rsid w:val="0012076A"/>
    <w:rsid w:val="00122850"/>
    <w:rsid w:val="0012353F"/>
    <w:rsid w:val="00123776"/>
    <w:rsid w:val="00140105"/>
    <w:rsid w:val="00162BD4"/>
    <w:rsid w:val="00172F65"/>
    <w:rsid w:val="00173249"/>
    <w:rsid w:val="00183475"/>
    <w:rsid w:val="00187242"/>
    <w:rsid w:val="00190C45"/>
    <w:rsid w:val="00191788"/>
    <w:rsid w:val="00195345"/>
    <w:rsid w:val="001B65A0"/>
    <w:rsid w:val="001D768D"/>
    <w:rsid w:val="001F0AE8"/>
    <w:rsid w:val="001F60B6"/>
    <w:rsid w:val="00202BBE"/>
    <w:rsid w:val="0020383E"/>
    <w:rsid w:val="0022169C"/>
    <w:rsid w:val="00226733"/>
    <w:rsid w:val="002334FB"/>
    <w:rsid w:val="00247F9F"/>
    <w:rsid w:val="0026445A"/>
    <w:rsid w:val="00264FE6"/>
    <w:rsid w:val="002655BE"/>
    <w:rsid w:val="00273C95"/>
    <w:rsid w:val="002748A7"/>
    <w:rsid w:val="0027612C"/>
    <w:rsid w:val="00277627"/>
    <w:rsid w:val="00286287"/>
    <w:rsid w:val="00286C91"/>
    <w:rsid w:val="00287406"/>
    <w:rsid w:val="002A1ADA"/>
    <w:rsid w:val="002C3354"/>
    <w:rsid w:val="002D6CE0"/>
    <w:rsid w:val="002E0141"/>
    <w:rsid w:val="002E3D44"/>
    <w:rsid w:val="003022EF"/>
    <w:rsid w:val="00306056"/>
    <w:rsid w:val="00326571"/>
    <w:rsid w:val="00333763"/>
    <w:rsid w:val="003431C8"/>
    <w:rsid w:val="00347641"/>
    <w:rsid w:val="003729DC"/>
    <w:rsid w:val="00377BFD"/>
    <w:rsid w:val="00384351"/>
    <w:rsid w:val="003A2C1D"/>
    <w:rsid w:val="003A36B8"/>
    <w:rsid w:val="003B3FA0"/>
    <w:rsid w:val="003D4E91"/>
    <w:rsid w:val="003E0431"/>
    <w:rsid w:val="003F3E4A"/>
    <w:rsid w:val="004015F0"/>
    <w:rsid w:val="004105C6"/>
    <w:rsid w:val="00416E44"/>
    <w:rsid w:val="00424122"/>
    <w:rsid w:val="00425194"/>
    <w:rsid w:val="00433104"/>
    <w:rsid w:val="00452FBF"/>
    <w:rsid w:val="00455736"/>
    <w:rsid w:val="00460D1F"/>
    <w:rsid w:val="0046445A"/>
    <w:rsid w:val="004722D5"/>
    <w:rsid w:val="00482A0A"/>
    <w:rsid w:val="0048770D"/>
    <w:rsid w:val="004B1F14"/>
    <w:rsid w:val="004C76DF"/>
    <w:rsid w:val="004E34E8"/>
    <w:rsid w:val="005014DE"/>
    <w:rsid w:val="00502CCF"/>
    <w:rsid w:val="005047FE"/>
    <w:rsid w:val="00525FE6"/>
    <w:rsid w:val="005270C3"/>
    <w:rsid w:val="00531402"/>
    <w:rsid w:val="00533C22"/>
    <w:rsid w:val="00541517"/>
    <w:rsid w:val="00565BB1"/>
    <w:rsid w:val="00591C12"/>
    <w:rsid w:val="00591CE7"/>
    <w:rsid w:val="00592215"/>
    <w:rsid w:val="00594ABE"/>
    <w:rsid w:val="005A1F78"/>
    <w:rsid w:val="005A5F81"/>
    <w:rsid w:val="005B7974"/>
    <w:rsid w:val="005C032F"/>
    <w:rsid w:val="005C7A73"/>
    <w:rsid w:val="005D76AA"/>
    <w:rsid w:val="005E0624"/>
    <w:rsid w:val="005E1E26"/>
    <w:rsid w:val="005F081D"/>
    <w:rsid w:val="005F110C"/>
    <w:rsid w:val="005F2FC9"/>
    <w:rsid w:val="00600947"/>
    <w:rsid w:val="006032D4"/>
    <w:rsid w:val="00625167"/>
    <w:rsid w:val="006256A1"/>
    <w:rsid w:val="0063204A"/>
    <w:rsid w:val="00641D40"/>
    <w:rsid w:val="0064433B"/>
    <w:rsid w:val="00660D14"/>
    <w:rsid w:val="006622A5"/>
    <w:rsid w:val="00677B14"/>
    <w:rsid w:val="006958DB"/>
    <w:rsid w:val="00695C58"/>
    <w:rsid w:val="0069616A"/>
    <w:rsid w:val="0069681C"/>
    <w:rsid w:val="006A02CE"/>
    <w:rsid w:val="006A183E"/>
    <w:rsid w:val="006C1ADA"/>
    <w:rsid w:val="006D7F6B"/>
    <w:rsid w:val="006E0D50"/>
    <w:rsid w:val="006E2A0B"/>
    <w:rsid w:val="006E4407"/>
    <w:rsid w:val="006F0720"/>
    <w:rsid w:val="006F1599"/>
    <w:rsid w:val="006F2D85"/>
    <w:rsid w:val="006F376E"/>
    <w:rsid w:val="00707016"/>
    <w:rsid w:val="00716F00"/>
    <w:rsid w:val="00717D25"/>
    <w:rsid w:val="0073084C"/>
    <w:rsid w:val="00731030"/>
    <w:rsid w:val="007344D7"/>
    <w:rsid w:val="00737319"/>
    <w:rsid w:val="00746BD5"/>
    <w:rsid w:val="007536C3"/>
    <w:rsid w:val="00753A60"/>
    <w:rsid w:val="0076505F"/>
    <w:rsid w:val="0077413A"/>
    <w:rsid w:val="007A3D6C"/>
    <w:rsid w:val="007A4C82"/>
    <w:rsid w:val="007C3A15"/>
    <w:rsid w:val="007D4708"/>
    <w:rsid w:val="00806846"/>
    <w:rsid w:val="008222AC"/>
    <w:rsid w:val="008274D8"/>
    <w:rsid w:val="00840B45"/>
    <w:rsid w:val="00851169"/>
    <w:rsid w:val="00855FEF"/>
    <w:rsid w:val="008828FA"/>
    <w:rsid w:val="008836D8"/>
    <w:rsid w:val="00891EB9"/>
    <w:rsid w:val="0089418C"/>
    <w:rsid w:val="0089728B"/>
    <w:rsid w:val="008C129D"/>
    <w:rsid w:val="008D4C33"/>
    <w:rsid w:val="008E143A"/>
    <w:rsid w:val="008E2D35"/>
    <w:rsid w:val="008E5F23"/>
    <w:rsid w:val="008E7AAF"/>
    <w:rsid w:val="008F1315"/>
    <w:rsid w:val="00906EF5"/>
    <w:rsid w:val="00920468"/>
    <w:rsid w:val="00923EF1"/>
    <w:rsid w:val="00924E6A"/>
    <w:rsid w:val="0092710E"/>
    <w:rsid w:val="00934ACD"/>
    <w:rsid w:val="00943066"/>
    <w:rsid w:val="00947CA6"/>
    <w:rsid w:val="009508AE"/>
    <w:rsid w:val="00962120"/>
    <w:rsid w:val="00964877"/>
    <w:rsid w:val="009704C6"/>
    <w:rsid w:val="00974B32"/>
    <w:rsid w:val="009959FE"/>
    <w:rsid w:val="009A7493"/>
    <w:rsid w:val="009C0390"/>
    <w:rsid w:val="009C4330"/>
    <w:rsid w:val="009D7D21"/>
    <w:rsid w:val="009E04F8"/>
    <w:rsid w:val="009F21D0"/>
    <w:rsid w:val="00A06A74"/>
    <w:rsid w:val="00A153AD"/>
    <w:rsid w:val="00A33934"/>
    <w:rsid w:val="00A36B27"/>
    <w:rsid w:val="00A51B0F"/>
    <w:rsid w:val="00A57180"/>
    <w:rsid w:val="00A744E6"/>
    <w:rsid w:val="00A84D47"/>
    <w:rsid w:val="00A870E9"/>
    <w:rsid w:val="00A954F5"/>
    <w:rsid w:val="00AA5A16"/>
    <w:rsid w:val="00AB3ED5"/>
    <w:rsid w:val="00AD3651"/>
    <w:rsid w:val="00AE2FAD"/>
    <w:rsid w:val="00AF6F41"/>
    <w:rsid w:val="00AF7330"/>
    <w:rsid w:val="00B01298"/>
    <w:rsid w:val="00B07BC3"/>
    <w:rsid w:val="00B11D9E"/>
    <w:rsid w:val="00B12E0D"/>
    <w:rsid w:val="00B26632"/>
    <w:rsid w:val="00B30CAE"/>
    <w:rsid w:val="00B32B00"/>
    <w:rsid w:val="00B4331E"/>
    <w:rsid w:val="00B50C23"/>
    <w:rsid w:val="00B522B6"/>
    <w:rsid w:val="00B55AEC"/>
    <w:rsid w:val="00B560F9"/>
    <w:rsid w:val="00B56B75"/>
    <w:rsid w:val="00B636B4"/>
    <w:rsid w:val="00B7067C"/>
    <w:rsid w:val="00B8002C"/>
    <w:rsid w:val="00B808EA"/>
    <w:rsid w:val="00B83F8E"/>
    <w:rsid w:val="00B864C0"/>
    <w:rsid w:val="00B96BF7"/>
    <w:rsid w:val="00BA3F5E"/>
    <w:rsid w:val="00BA5C6C"/>
    <w:rsid w:val="00BB47F5"/>
    <w:rsid w:val="00BB4E9C"/>
    <w:rsid w:val="00BB78C6"/>
    <w:rsid w:val="00BC02FE"/>
    <w:rsid w:val="00BC2390"/>
    <w:rsid w:val="00BC35E8"/>
    <w:rsid w:val="00BC4612"/>
    <w:rsid w:val="00BD5C8F"/>
    <w:rsid w:val="00BE0DDE"/>
    <w:rsid w:val="00BE3139"/>
    <w:rsid w:val="00BE4020"/>
    <w:rsid w:val="00BE533F"/>
    <w:rsid w:val="00BE5550"/>
    <w:rsid w:val="00BF1814"/>
    <w:rsid w:val="00C011E9"/>
    <w:rsid w:val="00C22CED"/>
    <w:rsid w:val="00C33F8E"/>
    <w:rsid w:val="00C41E28"/>
    <w:rsid w:val="00C434E8"/>
    <w:rsid w:val="00C45E03"/>
    <w:rsid w:val="00C47ACF"/>
    <w:rsid w:val="00C6493A"/>
    <w:rsid w:val="00C6659C"/>
    <w:rsid w:val="00C85969"/>
    <w:rsid w:val="00CD1578"/>
    <w:rsid w:val="00CE55AE"/>
    <w:rsid w:val="00CE6A13"/>
    <w:rsid w:val="00CE7FA3"/>
    <w:rsid w:val="00CF506D"/>
    <w:rsid w:val="00D0138C"/>
    <w:rsid w:val="00D050E3"/>
    <w:rsid w:val="00D1226C"/>
    <w:rsid w:val="00D139A2"/>
    <w:rsid w:val="00D16764"/>
    <w:rsid w:val="00D2402F"/>
    <w:rsid w:val="00D32D7F"/>
    <w:rsid w:val="00D340F6"/>
    <w:rsid w:val="00D37867"/>
    <w:rsid w:val="00D73EFB"/>
    <w:rsid w:val="00D8012D"/>
    <w:rsid w:val="00D90B39"/>
    <w:rsid w:val="00D9368B"/>
    <w:rsid w:val="00DA02BE"/>
    <w:rsid w:val="00DA0DF8"/>
    <w:rsid w:val="00DA6CCE"/>
    <w:rsid w:val="00DB2C44"/>
    <w:rsid w:val="00DB3992"/>
    <w:rsid w:val="00DC45B6"/>
    <w:rsid w:val="00DF3ECE"/>
    <w:rsid w:val="00E278F1"/>
    <w:rsid w:val="00E44EC7"/>
    <w:rsid w:val="00E52453"/>
    <w:rsid w:val="00E57B3A"/>
    <w:rsid w:val="00E643A6"/>
    <w:rsid w:val="00E66DCA"/>
    <w:rsid w:val="00E73376"/>
    <w:rsid w:val="00E7420F"/>
    <w:rsid w:val="00E753DC"/>
    <w:rsid w:val="00E81C69"/>
    <w:rsid w:val="00E87CD9"/>
    <w:rsid w:val="00EA5905"/>
    <w:rsid w:val="00EB1834"/>
    <w:rsid w:val="00EB35BC"/>
    <w:rsid w:val="00EB4400"/>
    <w:rsid w:val="00EB7E4E"/>
    <w:rsid w:val="00EC5221"/>
    <w:rsid w:val="00EE410C"/>
    <w:rsid w:val="00EE4D4D"/>
    <w:rsid w:val="00EE76FE"/>
    <w:rsid w:val="00EF445D"/>
    <w:rsid w:val="00F00975"/>
    <w:rsid w:val="00F06D75"/>
    <w:rsid w:val="00F06F79"/>
    <w:rsid w:val="00F227F3"/>
    <w:rsid w:val="00F26BCE"/>
    <w:rsid w:val="00F34F01"/>
    <w:rsid w:val="00F36D27"/>
    <w:rsid w:val="00F54164"/>
    <w:rsid w:val="00F6732C"/>
    <w:rsid w:val="00F7027F"/>
    <w:rsid w:val="00F74E34"/>
    <w:rsid w:val="00F751C4"/>
    <w:rsid w:val="00F916A3"/>
    <w:rsid w:val="00FA17CC"/>
    <w:rsid w:val="00FB6149"/>
    <w:rsid w:val="00FC644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51795051">
      <w:bodyDiv w:val="1"/>
      <w:marLeft w:val="0"/>
      <w:marRight w:val="0"/>
      <w:marTop w:val="0"/>
      <w:marBottom w:val="0"/>
      <w:divBdr>
        <w:top w:val="none" w:sz="0" w:space="0" w:color="auto"/>
        <w:left w:val="none" w:sz="0" w:space="0" w:color="auto"/>
        <w:bottom w:val="none" w:sz="0" w:space="0" w:color="auto"/>
        <w:right w:val="none" w:sz="0" w:space="0" w:color="auto"/>
      </w:divBdr>
    </w:div>
    <w:div w:id="195049986">
      <w:bodyDiv w:val="1"/>
      <w:marLeft w:val="0"/>
      <w:marRight w:val="0"/>
      <w:marTop w:val="0"/>
      <w:marBottom w:val="0"/>
      <w:divBdr>
        <w:top w:val="none" w:sz="0" w:space="0" w:color="auto"/>
        <w:left w:val="none" w:sz="0" w:space="0" w:color="auto"/>
        <w:bottom w:val="none" w:sz="0" w:space="0" w:color="auto"/>
        <w:right w:val="none" w:sz="0" w:space="0" w:color="auto"/>
      </w:divBdr>
    </w:div>
    <w:div w:id="225607219">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304967635">
      <w:bodyDiv w:val="1"/>
      <w:marLeft w:val="0"/>
      <w:marRight w:val="0"/>
      <w:marTop w:val="0"/>
      <w:marBottom w:val="0"/>
      <w:divBdr>
        <w:top w:val="none" w:sz="0" w:space="0" w:color="auto"/>
        <w:left w:val="none" w:sz="0" w:space="0" w:color="auto"/>
        <w:bottom w:val="none" w:sz="0" w:space="0" w:color="auto"/>
        <w:right w:val="none" w:sz="0" w:space="0" w:color="auto"/>
      </w:divBdr>
    </w:div>
    <w:div w:id="356587471">
      <w:bodyDiv w:val="1"/>
      <w:marLeft w:val="0"/>
      <w:marRight w:val="0"/>
      <w:marTop w:val="0"/>
      <w:marBottom w:val="0"/>
      <w:divBdr>
        <w:top w:val="none" w:sz="0" w:space="0" w:color="auto"/>
        <w:left w:val="none" w:sz="0" w:space="0" w:color="auto"/>
        <w:bottom w:val="none" w:sz="0" w:space="0" w:color="auto"/>
        <w:right w:val="none" w:sz="0" w:space="0" w:color="auto"/>
      </w:divBdr>
    </w:div>
    <w:div w:id="432476750">
      <w:bodyDiv w:val="1"/>
      <w:marLeft w:val="0"/>
      <w:marRight w:val="0"/>
      <w:marTop w:val="0"/>
      <w:marBottom w:val="0"/>
      <w:divBdr>
        <w:top w:val="none" w:sz="0" w:space="0" w:color="auto"/>
        <w:left w:val="none" w:sz="0" w:space="0" w:color="auto"/>
        <w:bottom w:val="none" w:sz="0" w:space="0" w:color="auto"/>
        <w:right w:val="none" w:sz="0" w:space="0" w:color="auto"/>
      </w:divBdr>
    </w:div>
    <w:div w:id="435834311">
      <w:bodyDiv w:val="1"/>
      <w:marLeft w:val="0"/>
      <w:marRight w:val="0"/>
      <w:marTop w:val="0"/>
      <w:marBottom w:val="0"/>
      <w:divBdr>
        <w:top w:val="none" w:sz="0" w:space="0" w:color="auto"/>
        <w:left w:val="none" w:sz="0" w:space="0" w:color="auto"/>
        <w:bottom w:val="none" w:sz="0" w:space="0" w:color="auto"/>
        <w:right w:val="none" w:sz="0" w:space="0" w:color="auto"/>
      </w:divBdr>
    </w:div>
    <w:div w:id="43922829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541482422">
      <w:bodyDiv w:val="1"/>
      <w:marLeft w:val="0"/>
      <w:marRight w:val="0"/>
      <w:marTop w:val="0"/>
      <w:marBottom w:val="0"/>
      <w:divBdr>
        <w:top w:val="none" w:sz="0" w:space="0" w:color="auto"/>
        <w:left w:val="none" w:sz="0" w:space="0" w:color="auto"/>
        <w:bottom w:val="none" w:sz="0" w:space="0" w:color="auto"/>
        <w:right w:val="none" w:sz="0" w:space="0" w:color="auto"/>
      </w:divBdr>
    </w:div>
    <w:div w:id="583300093">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699939132">
      <w:bodyDiv w:val="1"/>
      <w:marLeft w:val="0"/>
      <w:marRight w:val="0"/>
      <w:marTop w:val="0"/>
      <w:marBottom w:val="0"/>
      <w:divBdr>
        <w:top w:val="none" w:sz="0" w:space="0" w:color="auto"/>
        <w:left w:val="none" w:sz="0" w:space="0" w:color="auto"/>
        <w:bottom w:val="none" w:sz="0" w:space="0" w:color="auto"/>
        <w:right w:val="none" w:sz="0" w:space="0" w:color="auto"/>
      </w:divBdr>
    </w:div>
    <w:div w:id="800730298">
      <w:bodyDiv w:val="1"/>
      <w:marLeft w:val="0"/>
      <w:marRight w:val="0"/>
      <w:marTop w:val="0"/>
      <w:marBottom w:val="0"/>
      <w:divBdr>
        <w:top w:val="none" w:sz="0" w:space="0" w:color="auto"/>
        <w:left w:val="none" w:sz="0" w:space="0" w:color="auto"/>
        <w:bottom w:val="none" w:sz="0" w:space="0" w:color="auto"/>
        <w:right w:val="none" w:sz="0" w:space="0" w:color="auto"/>
      </w:divBdr>
    </w:div>
    <w:div w:id="820930821">
      <w:bodyDiv w:val="1"/>
      <w:marLeft w:val="0"/>
      <w:marRight w:val="0"/>
      <w:marTop w:val="0"/>
      <w:marBottom w:val="0"/>
      <w:divBdr>
        <w:top w:val="none" w:sz="0" w:space="0" w:color="auto"/>
        <w:left w:val="none" w:sz="0" w:space="0" w:color="auto"/>
        <w:bottom w:val="none" w:sz="0" w:space="0" w:color="auto"/>
        <w:right w:val="none" w:sz="0" w:space="0" w:color="auto"/>
      </w:divBdr>
    </w:div>
    <w:div w:id="838928568">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880559217">
      <w:bodyDiv w:val="1"/>
      <w:marLeft w:val="0"/>
      <w:marRight w:val="0"/>
      <w:marTop w:val="0"/>
      <w:marBottom w:val="0"/>
      <w:divBdr>
        <w:top w:val="none" w:sz="0" w:space="0" w:color="auto"/>
        <w:left w:val="none" w:sz="0" w:space="0" w:color="auto"/>
        <w:bottom w:val="none" w:sz="0" w:space="0" w:color="auto"/>
        <w:right w:val="none" w:sz="0" w:space="0" w:color="auto"/>
      </w:divBdr>
    </w:div>
    <w:div w:id="892469666">
      <w:bodyDiv w:val="1"/>
      <w:marLeft w:val="0"/>
      <w:marRight w:val="0"/>
      <w:marTop w:val="0"/>
      <w:marBottom w:val="0"/>
      <w:divBdr>
        <w:top w:val="none" w:sz="0" w:space="0" w:color="auto"/>
        <w:left w:val="none" w:sz="0" w:space="0" w:color="auto"/>
        <w:bottom w:val="none" w:sz="0" w:space="0" w:color="auto"/>
        <w:right w:val="none" w:sz="0" w:space="0" w:color="auto"/>
      </w:divBdr>
    </w:div>
    <w:div w:id="916787468">
      <w:bodyDiv w:val="1"/>
      <w:marLeft w:val="0"/>
      <w:marRight w:val="0"/>
      <w:marTop w:val="0"/>
      <w:marBottom w:val="0"/>
      <w:divBdr>
        <w:top w:val="none" w:sz="0" w:space="0" w:color="auto"/>
        <w:left w:val="none" w:sz="0" w:space="0" w:color="auto"/>
        <w:bottom w:val="none" w:sz="0" w:space="0" w:color="auto"/>
        <w:right w:val="none" w:sz="0" w:space="0" w:color="auto"/>
      </w:divBdr>
    </w:div>
    <w:div w:id="949124126">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28287974">
      <w:bodyDiv w:val="1"/>
      <w:marLeft w:val="0"/>
      <w:marRight w:val="0"/>
      <w:marTop w:val="0"/>
      <w:marBottom w:val="0"/>
      <w:divBdr>
        <w:top w:val="none" w:sz="0" w:space="0" w:color="auto"/>
        <w:left w:val="none" w:sz="0" w:space="0" w:color="auto"/>
        <w:bottom w:val="none" w:sz="0" w:space="0" w:color="auto"/>
        <w:right w:val="none" w:sz="0" w:space="0" w:color="auto"/>
      </w:divBdr>
    </w:div>
    <w:div w:id="1065642855">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142581482">
      <w:bodyDiv w:val="1"/>
      <w:marLeft w:val="0"/>
      <w:marRight w:val="0"/>
      <w:marTop w:val="0"/>
      <w:marBottom w:val="0"/>
      <w:divBdr>
        <w:top w:val="none" w:sz="0" w:space="0" w:color="auto"/>
        <w:left w:val="none" w:sz="0" w:space="0" w:color="auto"/>
        <w:bottom w:val="none" w:sz="0" w:space="0" w:color="auto"/>
        <w:right w:val="none" w:sz="0" w:space="0" w:color="auto"/>
      </w:divBdr>
    </w:div>
    <w:div w:id="1186796547">
      <w:bodyDiv w:val="1"/>
      <w:marLeft w:val="0"/>
      <w:marRight w:val="0"/>
      <w:marTop w:val="0"/>
      <w:marBottom w:val="0"/>
      <w:divBdr>
        <w:top w:val="none" w:sz="0" w:space="0" w:color="auto"/>
        <w:left w:val="none" w:sz="0" w:space="0" w:color="auto"/>
        <w:bottom w:val="none" w:sz="0" w:space="0" w:color="auto"/>
        <w:right w:val="none" w:sz="0" w:space="0" w:color="auto"/>
      </w:divBdr>
    </w:div>
    <w:div w:id="1225531140">
      <w:bodyDiv w:val="1"/>
      <w:marLeft w:val="0"/>
      <w:marRight w:val="0"/>
      <w:marTop w:val="0"/>
      <w:marBottom w:val="0"/>
      <w:divBdr>
        <w:top w:val="none" w:sz="0" w:space="0" w:color="auto"/>
        <w:left w:val="none" w:sz="0" w:space="0" w:color="auto"/>
        <w:bottom w:val="none" w:sz="0" w:space="0" w:color="auto"/>
        <w:right w:val="none" w:sz="0" w:space="0" w:color="auto"/>
      </w:divBdr>
    </w:div>
    <w:div w:id="1243292502">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274747791">
      <w:bodyDiv w:val="1"/>
      <w:marLeft w:val="0"/>
      <w:marRight w:val="0"/>
      <w:marTop w:val="0"/>
      <w:marBottom w:val="0"/>
      <w:divBdr>
        <w:top w:val="none" w:sz="0" w:space="0" w:color="auto"/>
        <w:left w:val="none" w:sz="0" w:space="0" w:color="auto"/>
        <w:bottom w:val="none" w:sz="0" w:space="0" w:color="auto"/>
        <w:right w:val="none" w:sz="0" w:space="0" w:color="auto"/>
      </w:divBdr>
    </w:div>
    <w:div w:id="1305354285">
      <w:bodyDiv w:val="1"/>
      <w:marLeft w:val="0"/>
      <w:marRight w:val="0"/>
      <w:marTop w:val="0"/>
      <w:marBottom w:val="0"/>
      <w:divBdr>
        <w:top w:val="none" w:sz="0" w:space="0" w:color="auto"/>
        <w:left w:val="none" w:sz="0" w:space="0" w:color="auto"/>
        <w:bottom w:val="none" w:sz="0" w:space="0" w:color="auto"/>
        <w:right w:val="none" w:sz="0" w:space="0" w:color="auto"/>
      </w:divBdr>
    </w:div>
    <w:div w:id="1315719825">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422871577">
      <w:bodyDiv w:val="1"/>
      <w:marLeft w:val="0"/>
      <w:marRight w:val="0"/>
      <w:marTop w:val="0"/>
      <w:marBottom w:val="0"/>
      <w:divBdr>
        <w:top w:val="none" w:sz="0" w:space="0" w:color="auto"/>
        <w:left w:val="none" w:sz="0" w:space="0" w:color="auto"/>
        <w:bottom w:val="none" w:sz="0" w:space="0" w:color="auto"/>
        <w:right w:val="none" w:sz="0" w:space="0" w:color="auto"/>
      </w:divBdr>
    </w:div>
    <w:div w:id="1481656432">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575971851">
      <w:bodyDiv w:val="1"/>
      <w:marLeft w:val="0"/>
      <w:marRight w:val="0"/>
      <w:marTop w:val="0"/>
      <w:marBottom w:val="0"/>
      <w:divBdr>
        <w:top w:val="none" w:sz="0" w:space="0" w:color="auto"/>
        <w:left w:val="none" w:sz="0" w:space="0" w:color="auto"/>
        <w:bottom w:val="none" w:sz="0" w:space="0" w:color="auto"/>
        <w:right w:val="none" w:sz="0" w:space="0" w:color="auto"/>
      </w:divBdr>
    </w:div>
    <w:div w:id="1581526533">
      <w:bodyDiv w:val="1"/>
      <w:marLeft w:val="0"/>
      <w:marRight w:val="0"/>
      <w:marTop w:val="0"/>
      <w:marBottom w:val="0"/>
      <w:divBdr>
        <w:top w:val="none" w:sz="0" w:space="0" w:color="auto"/>
        <w:left w:val="none" w:sz="0" w:space="0" w:color="auto"/>
        <w:bottom w:val="none" w:sz="0" w:space="0" w:color="auto"/>
        <w:right w:val="none" w:sz="0" w:space="0" w:color="auto"/>
      </w:divBdr>
    </w:div>
    <w:div w:id="1590313935">
      <w:bodyDiv w:val="1"/>
      <w:marLeft w:val="0"/>
      <w:marRight w:val="0"/>
      <w:marTop w:val="0"/>
      <w:marBottom w:val="0"/>
      <w:divBdr>
        <w:top w:val="none" w:sz="0" w:space="0" w:color="auto"/>
        <w:left w:val="none" w:sz="0" w:space="0" w:color="auto"/>
        <w:bottom w:val="none" w:sz="0" w:space="0" w:color="auto"/>
        <w:right w:val="none" w:sz="0" w:space="0" w:color="auto"/>
      </w:divBdr>
    </w:div>
    <w:div w:id="1596286221">
      <w:bodyDiv w:val="1"/>
      <w:marLeft w:val="0"/>
      <w:marRight w:val="0"/>
      <w:marTop w:val="0"/>
      <w:marBottom w:val="0"/>
      <w:divBdr>
        <w:top w:val="none" w:sz="0" w:space="0" w:color="auto"/>
        <w:left w:val="none" w:sz="0" w:space="0" w:color="auto"/>
        <w:bottom w:val="none" w:sz="0" w:space="0" w:color="auto"/>
        <w:right w:val="none" w:sz="0" w:space="0" w:color="auto"/>
      </w:divBdr>
    </w:div>
    <w:div w:id="1623346099">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780175940">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26916985">
      <w:bodyDiv w:val="1"/>
      <w:marLeft w:val="0"/>
      <w:marRight w:val="0"/>
      <w:marTop w:val="0"/>
      <w:marBottom w:val="0"/>
      <w:divBdr>
        <w:top w:val="none" w:sz="0" w:space="0" w:color="auto"/>
        <w:left w:val="none" w:sz="0" w:space="0" w:color="auto"/>
        <w:bottom w:val="none" w:sz="0" w:space="0" w:color="auto"/>
        <w:right w:val="none" w:sz="0" w:space="0" w:color="auto"/>
      </w:divBdr>
    </w:div>
    <w:div w:id="1947538563">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 w:id="2068651405">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80326998">
      <w:bodyDiv w:val="1"/>
      <w:marLeft w:val="0"/>
      <w:marRight w:val="0"/>
      <w:marTop w:val="0"/>
      <w:marBottom w:val="0"/>
      <w:divBdr>
        <w:top w:val="none" w:sz="0" w:space="0" w:color="auto"/>
        <w:left w:val="none" w:sz="0" w:space="0" w:color="auto"/>
        <w:bottom w:val="none" w:sz="0" w:space="0" w:color="auto"/>
        <w:right w:val="none" w:sz="0" w:space="0" w:color="auto"/>
      </w:divBdr>
    </w:div>
    <w:div w:id="2124618335">
      <w:bodyDiv w:val="1"/>
      <w:marLeft w:val="0"/>
      <w:marRight w:val="0"/>
      <w:marTop w:val="0"/>
      <w:marBottom w:val="0"/>
      <w:divBdr>
        <w:top w:val="none" w:sz="0" w:space="0" w:color="auto"/>
        <w:left w:val="none" w:sz="0" w:space="0" w:color="auto"/>
        <w:bottom w:val="none" w:sz="0" w:space="0" w:color="auto"/>
        <w:right w:val="none" w:sz="0" w:space="0" w:color="auto"/>
      </w:divBdr>
    </w:div>
    <w:div w:id="21464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CEDER ORIENTAL HUESCA</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2.2588667179821185E-2</c:v>
                </c:pt>
                <c:pt idx="1">
                  <c:v>2.249985197465806E-2</c:v>
                </c:pt>
                <c:pt idx="2">
                  <c:v>2.0945585884303394E-2</c:v>
                </c:pt>
                <c:pt idx="3">
                  <c:v>2.1863343004322341E-2</c:v>
                </c:pt>
                <c:pt idx="4">
                  <c:v>2.4290958612114395E-2</c:v>
                </c:pt>
                <c:pt idx="5">
                  <c:v>2.6289300728284681E-2</c:v>
                </c:pt>
                <c:pt idx="6">
                  <c:v>3.3142874060039081E-2</c:v>
                </c:pt>
                <c:pt idx="7">
                  <c:v>3.617739356977915E-2</c:v>
                </c:pt>
                <c:pt idx="8">
                  <c:v>3.6458641719462372E-2</c:v>
                </c:pt>
                <c:pt idx="9">
                  <c:v>3.5866540351708213E-2</c:v>
                </c:pt>
                <c:pt idx="10">
                  <c:v>3.1855053585173779E-2</c:v>
                </c:pt>
                <c:pt idx="11">
                  <c:v>2.831724791284268E-2</c:v>
                </c:pt>
                <c:pt idx="12">
                  <c:v>2.5608384155367397E-2</c:v>
                </c:pt>
                <c:pt idx="13">
                  <c:v>2.5282728403102611E-2</c:v>
                </c:pt>
                <c:pt idx="14">
                  <c:v>2.0471904790100064E-2</c:v>
                </c:pt>
                <c:pt idx="15">
                  <c:v>2.5593581621173544E-2</c:v>
                </c:pt>
                <c:pt idx="16">
                  <c:v>2.2677482384984311E-2</c:v>
                </c:pt>
                <c:pt idx="17">
                  <c:v>1.5986736929362307E-2</c:v>
                </c:pt>
                <c:pt idx="18">
                  <c:v>7.0164012078867905E-3</c:v>
                </c:pt>
                <c:pt idx="19">
                  <c:v>2.0427497187518505E-3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-2.4024512996625023E-2</c:v>
                </c:pt>
                <c:pt idx="1">
                  <c:v>-2.5549174018591983E-2</c:v>
                </c:pt>
                <c:pt idx="2">
                  <c:v>-2.3402806560483155E-2</c:v>
                </c:pt>
                <c:pt idx="3">
                  <c:v>-2.4764639706317721E-2</c:v>
                </c:pt>
                <c:pt idx="4">
                  <c:v>-2.6156077920539995E-2</c:v>
                </c:pt>
                <c:pt idx="5">
                  <c:v>-3.035999763159453E-2</c:v>
                </c:pt>
                <c:pt idx="6">
                  <c:v>-3.9700396707916398E-2</c:v>
                </c:pt>
                <c:pt idx="7">
                  <c:v>-4.4984901415122271E-2</c:v>
                </c:pt>
                <c:pt idx="8">
                  <c:v>-4.3504647995736868E-2</c:v>
                </c:pt>
                <c:pt idx="9">
                  <c:v>-4.1284267866658772E-2</c:v>
                </c:pt>
                <c:pt idx="10">
                  <c:v>-3.6695482266564036E-2</c:v>
                </c:pt>
                <c:pt idx="11">
                  <c:v>-3.1144531943868792E-2</c:v>
                </c:pt>
                <c:pt idx="12">
                  <c:v>-2.557877908697969E-2</c:v>
                </c:pt>
                <c:pt idx="13">
                  <c:v>-2.4690627035348453E-2</c:v>
                </c:pt>
                <c:pt idx="14">
                  <c:v>-1.7748238498430931E-2</c:v>
                </c:pt>
                <c:pt idx="15">
                  <c:v>-2.3047545739830658E-2</c:v>
                </c:pt>
                <c:pt idx="16">
                  <c:v>-1.7585410622298538E-2</c:v>
                </c:pt>
                <c:pt idx="17">
                  <c:v>-1.0435786606667061E-2</c:v>
                </c:pt>
                <c:pt idx="18">
                  <c:v>-3.759843685238913E-3</c:v>
                </c:pt>
                <c:pt idx="19">
                  <c:v>-6.0690390194801346E-4</c:v>
                </c:pt>
              </c:numCache>
            </c:numRef>
          </c:val>
        </c:ser>
        <c:dLbls>
          <c:showLegendKey val="0"/>
          <c:showVal val="0"/>
          <c:showCatName val="0"/>
          <c:showSerName val="0"/>
          <c:showPercent val="0"/>
          <c:showBubbleSize val="0"/>
        </c:dLbls>
        <c:gapWidth val="150"/>
        <c:axId val="111502848"/>
        <c:axId val="88407360"/>
      </c:barChart>
      <c:catAx>
        <c:axId val="111502848"/>
        <c:scaling>
          <c:orientation val="minMax"/>
        </c:scaling>
        <c:delete val="0"/>
        <c:axPos val="l"/>
        <c:majorTickMark val="out"/>
        <c:minorTickMark val="none"/>
        <c:tickLblPos val="low"/>
        <c:crossAx val="88407360"/>
        <c:crosses val="autoZero"/>
        <c:auto val="1"/>
        <c:lblAlgn val="ctr"/>
        <c:lblOffset val="100"/>
        <c:noMultiLvlLbl val="0"/>
      </c:catAx>
      <c:valAx>
        <c:axId val="88407360"/>
        <c:scaling>
          <c:orientation val="minMax"/>
        </c:scaling>
        <c:delete val="1"/>
        <c:axPos val="b"/>
        <c:majorGridlines/>
        <c:numFmt formatCode="General" sourceLinked="1"/>
        <c:majorTickMark val="out"/>
        <c:minorTickMark val="none"/>
        <c:tickLblPos val="nextTo"/>
        <c:crossAx val="11150284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CEDER ORIENTAL HUESCA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7306661174214281E-2"/>
          <c:y val="9.6846140760182761E-2"/>
          <c:w val="0.89910843316540834"/>
          <c:h val="0.66650414357927479"/>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94</c:v>
                </c:pt>
                <c:pt idx="1">
                  <c:v>733</c:v>
                </c:pt>
                <c:pt idx="2">
                  <c:v>1259</c:v>
                </c:pt>
                <c:pt idx="3">
                  <c:v>1984</c:v>
                </c:pt>
                <c:pt idx="4">
                  <c:v>2571</c:v>
                </c:pt>
                <c:pt idx="5">
                  <c:v>2373</c:v>
                </c:pt>
                <c:pt idx="6">
                  <c:v>2276</c:v>
                </c:pt>
                <c:pt idx="7">
                  <c:v>2034</c:v>
                </c:pt>
                <c:pt idx="8">
                  <c:v>1564</c:v>
                </c:pt>
                <c:pt idx="9">
                  <c:v>976</c:v>
                </c:pt>
                <c:pt idx="10">
                  <c:v>156</c:v>
                </c:pt>
                <c:pt idx="11">
                  <c:v>52</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59</c:v>
                </c:pt>
                <c:pt idx="1">
                  <c:v>430</c:v>
                </c:pt>
                <c:pt idx="2">
                  <c:v>859</c:v>
                </c:pt>
                <c:pt idx="3">
                  <c:v>1088</c:v>
                </c:pt>
                <c:pt idx="4">
                  <c:v>1410</c:v>
                </c:pt>
                <c:pt idx="5">
                  <c:v>1483</c:v>
                </c:pt>
                <c:pt idx="6">
                  <c:v>1448</c:v>
                </c:pt>
                <c:pt idx="7">
                  <c:v>1227</c:v>
                </c:pt>
                <c:pt idx="8">
                  <c:v>913</c:v>
                </c:pt>
                <c:pt idx="9">
                  <c:v>529</c:v>
                </c:pt>
                <c:pt idx="10">
                  <c:v>96</c:v>
                </c:pt>
                <c:pt idx="11">
                  <c:v>22</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153</c:v>
                </c:pt>
                <c:pt idx="1">
                  <c:v>1163</c:v>
                </c:pt>
                <c:pt idx="2">
                  <c:v>2118</c:v>
                </c:pt>
                <c:pt idx="3">
                  <c:v>3072</c:v>
                </c:pt>
                <c:pt idx="4">
                  <c:v>3981</c:v>
                </c:pt>
                <c:pt idx="5">
                  <c:v>3856</c:v>
                </c:pt>
                <c:pt idx="6">
                  <c:v>3724</c:v>
                </c:pt>
                <c:pt idx="7">
                  <c:v>3261</c:v>
                </c:pt>
                <c:pt idx="8">
                  <c:v>2477</c:v>
                </c:pt>
                <c:pt idx="9">
                  <c:v>1505</c:v>
                </c:pt>
                <c:pt idx="10">
                  <c:v>252</c:v>
                </c:pt>
                <c:pt idx="11">
                  <c:v>74</c:v>
                </c:pt>
              </c:numCache>
            </c:numRef>
          </c:val>
        </c:ser>
        <c:dLbls>
          <c:showLegendKey val="0"/>
          <c:showVal val="0"/>
          <c:showCatName val="0"/>
          <c:showSerName val="0"/>
          <c:showPercent val="0"/>
          <c:showBubbleSize val="0"/>
        </c:dLbls>
        <c:gapWidth val="150"/>
        <c:axId val="111501824"/>
        <c:axId val="112121472"/>
      </c:barChart>
      <c:catAx>
        <c:axId val="111501824"/>
        <c:scaling>
          <c:orientation val="minMax"/>
        </c:scaling>
        <c:delete val="0"/>
        <c:axPos val="b"/>
        <c:majorTickMark val="out"/>
        <c:minorTickMark val="none"/>
        <c:tickLblPos val="nextTo"/>
        <c:crossAx val="112121472"/>
        <c:crosses val="autoZero"/>
        <c:auto val="1"/>
        <c:lblAlgn val="ctr"/>
        <c:lblOffset val="100"/>
        <c:noMultiLvlLbl val="0"/>
      </c:catAx>
      <c:valAx>
        <c:axId val="112121472"/>
        <c:scaling>
          <c:orientation val="minMax"/>
        </c:scaling>
        <c:delete val="0"/>
        <c:axPos val="l"/>
        <c:majorGridlines/>
        <c:numFmt formatCode="General" sourceLinked="1"/>
        <c:majorTickMark val="out"/>
        <c:minorTickMark val="none"/>
        <c:tickLblPos val="nextTo"/>
        <c:crossAx val="11150182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CEDER</a:t>
            </a:r>
            <a:r>
              <a:rPr lang="es-ES" sz="1400" baseline="0"/>
              <a:t> ORIENTAL HUESCA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7.5620442054642495E-2"/>
          <c:y val="9.8056717519685033E-2"/>
          <c:w val="0.90130908814669974"/>
          <c:h val="0.66233544537401579"/>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309</c:v>
                </c:pt>
                <c:pt idx="1">
                  <c:v>1150</c:v>
                </c:pt>
                <c:pt idx="2">
                  <c:v>1820</c:v>
                </c:pt>
                <c:pt idx="3">
                  <c:v>2689</c:v>
                </c:pt>
                <c:pt idx="4">
                  <c:v>3395</c:v>
                </c:pt>
                <c:pt idx="5">
                  <c:v>3062</c:v>
                </c:pt>
                <c:pt idx="6">
                  <c:v>2707</c:v>
                </c:pt>
                <c:pt idx="7">
                  <c:v>2204</c:v>
                </c:pt>
                <c:pt idx="8">
                  <c:v>1650</c:v>
                </c:pt>
                <c:pt idx="9">
                  <c:v>1005</c:v>
                </c:pt>
                <c:pt idx="10">
                  <c:v>150</c:v>
                </c:pt>
                <c:pt idx="11">
                  <c:v>47</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197</c:v>
                </c:pt>
                <c:pt idx="1">
                  <c:v>716</c:v>
                </c:pt>
                <c:pt idx="2">
                  <c:v>1121</c:v>
                </c:pt>
                <c:pt idx="3">
                  <c:v>1343</c:v>
                </c:pt>
                <c:pt idx="4">
                  <c:v>1772</c:v>
                </c:pt>
                <c:pt idx="5">
                  <c:v>1825</c:v>
                </c:pt>
                <c:pt idx="6">
                  <c:v>1692</c:v>
                </c:pt>
                <c:pt idx="7">
                  <c:v>1311</c:v>
                </c:pt>
                <c:pt idx="8">
                  <c:v>905</c:v>
                </c:pt>
                <c:pt idx="9">
                  <c:v>556</c:v>
                </c:pt>
                <c:pt idx="10">
                  <c:v>88</c:v>
                </c:pt>
                <c:pt idx="11">
                  <c:v>25</c:v>
                </c:pt>
              </c:numCache>
            </c:numRef>
          </c:val>
        </c:ser>
        <c:dLbls>
          <c:showLegendKey val="0"/>
          <c:showVal val="0"/>
          <c:showCatName val="0"/>
          <c:showSerName val="0"/>
          <c:showPercent val="0"/>
          <c:showBubbleSize val="0"/>
        </c:dLbls>
        <c:gapWidth val="150"/>
        <c:axId val="112385536"/>
        <c:axId val="112123200"/>
      </c:barChart>
      <c:catAx>
        <c:axId val="112385536"/>
        <c:scaling>
          <c:orientation val="minMax"/>
        </c:scaling>
        <c:delete val="0"/>
        <c:axPos val="b"/>
        <c:majorTickMark val="out"/>
        <c:minorTickMark val="none"/>
        <c:tickLblPos val="nextTo"/>
        <c:crossAx val="112123200"/>
        <c:crosses val="autoZero"/>
        <c:auto val="1"/>
        <c:lblAlgn val="ctr"/>
        <c:lblOffset val="100"/>
        <c:noMultiLvlLbl val="0"/>
      </c:catAx>
      <c:valAx>
        <c:axId val="112123200"/>
        <c:scaling>
          <c:orientation val="minMax"/>
        </c:scaling>
        <c:delete val="0"/>
        <c:axPos val="l"/>
        <c:majorGridlines/>
        <c:numFmt formatCode="General" sourceLinked="1"/>
        <c:majorTickMark val="out"/>
        <c:minorTickMark val="none"/>
        <c:tickLblPos val="nextTo"/>
        <c:crossAx val="11238553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
  </c:pivotSource>
  <c:chart>
    <c:title>
      <c:tx>
        <c:rich>
          <a:bodyPr/>
          <a:lstStyle/>
          <a:p>
            <a:pPr>
              <a:defRPr sz="1400"/>
            </a:pPr>
            <a:r>
              <a:rPr lang="es-ES" sz="1400"/>
              <a:t>Altas</a:t>
            </a:r>
            <a:r>
              <a:rPr lang="es-ES" sz="1400" baseline="0"/>
              <a:t> por sector y grupo de actividad</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2.3108453114764827E-2"/>
          <c:y val="0.12211938528990696"/>
          <c:w val="0.65238887913453358"/>
          <c:h val="0.65822102049033648"/>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CEDER ORIENTAL HUESC</c:v>
                  </c:pt>
                </c:lvl>
              </c:multiLvlStrCache>
            </c:multiLvlStrRef>
          </c:cat>
          <c:val>
            <c:numRef>
              <c:f>'Tabla régimen-actividad JUN'!$B$9:$B$11</c:f>
              <c:numCache>
                <c:formatCode>General</c:formatCode>
                <c:ptCount val="2"/>
                <c:pt idx="0">
                  <c:v>2853</c:v>
                </c:pt>
                <c:pt idx="1">
                  <c:v>7581</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CEDER ORIENTAL HUESC</c:v>
                  </c:pt>
                </c:lvl>
              </c:multiLvlStrCache>
            </c:multiLvlStrRef>
          </c:cat>
          <c:val>
            <c:numRef>
              <c:f>'Tabla régimen-actividad JUN'!$C$9:$C$11</c:f>
              <c:numCache>
                <c:formatCode>General</c:formatCode>
                <c:ptCount val="2"/>
                <c:pt idx="0">
                  <c:v>566</c:v>
                </c:pt>
                <c:pt idx="1">
                  <c:v>5076</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CEDER ORIENTAL HUESC</c:v>
                  </c:pt>
                </c:lvl>
              </c:multiLvlStrCache>
            </c:multiLvlStrRef>
          </c:cat>
          <c:val>
            <c:numRef>
              <c:f>'Tabla régimen-actividad JUN'!$D$9:$D$11</c:f>
              <c:numCache>
                <c:formatCode>General</c:formatCode>
                <c:ptCount val="2"/>
                <c:pt idx="0">
                  <c:v>845</c:v>
                </c:pt>
                <c:pt idx="1">
                  <c:v>1254</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CEDER ORIENTAL HUESC</c:v>
                  </c:pt>
                </c:lvl>
              </c:multiLvlStrCache>
            </c:multiLvlStrRef>
          </c:cat>
          <c:val>
            <c:numRef>
              <c:f>'Tabla régimen-actividad JUN'!$E$9:$E$11</c:f>
              <c:numCache>
                <c:formatCode>General</c:formatCode>
                <c:ptCount val="2"/>
                <c:pt idx="0">
                  <c:v>3180</c:v>
                </c:pt>
                <c:pt idx="1">
                  <c:v>10374</c:v>
                </c:pt>
              </c:numCache>
            </c:numRef>
          </c:val>
        </c:ser>
        <c:dLbls>
          <c:showLegendKey val="0"/>
          <c:showVal val="0"/>
          <c:showCatName val="0"/>
          <c:showSerName val="0"/>
          <c:showPercent val="0"/>
          <c:showBubbleSize val="0"/>
        </c:dLbls>
        <c:gapWidth val="150"/>
        <c:shape val="box"/>
        <c:axId val="112861184"/>
        <c:axId val="112764032"/>
        <c:axId val="0"/>
      </c:bar3DChart>
      <c:catAx>
        <c:axId val="112861184"/>
        <c:scaling>
          <c:orientation val="minMax"/>
        </c:scaling>
        <c:delete val="0"/>
        <c:axPos val="b"/>
        <c:majorTickMark val="out"/>
        <c:minorTickMark val="none"/>
        <c:tickLblPos val="nextTo"/>
        <c:crossAx val="112764032"/>
        <c:crosses val="autoZero"/>
        <c:auto val="1"/>
        <c:lblAlgn val="ctr"/>
        <c:lblOffset val="100"/>
        <c:noMultiLvlLbl val="0"/>
      </c:catAx>
      <c:valAx>
        <c:axId val="112764032"/>
        <c:scaling>
          <c:orientation val="minMax"/>
        </c:scaling>
        <c:delete val="0"/>
        <c:axPos val="l"/>
        <c:majorGridlines/>
        <c:numFmt formatCode="General" sourceLinked="1"/>
        <c:majorTickMark val="out"/>
        <c:minorTickMark val="none"/>
        <c:tickLblPos val="nextTo"/>
        <c:crossAx val="112861184"/>
        <c:crosses val="autoZero"/>
        <c:crossBetween val="between"/>
      </c:valAx>
    </c:plotArea>
    <c:legend>
      <c:legendPos val="b"/>
      <c:layout>
        <c:manualLayout>
          <c:xMode val="edge"/>
          <c:yMode val="edge"/>
          <c:x val="0.74702901095339069"/>
          <c:y val="0.13826055833929848"/>
          <c:w val="0.23278588889939361"/>
          <c:h val="0.8404326234788833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8177158601315489E-2"/>
          <c:y val="8.9147949743986918E-2"/>
          <c:w val="0.88823793573830712"/>
          <c:h val="0.6796832644894798"/>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CEDER ORIENTAL HUESC</c:v>
                  </c:pt>
                </c:lvl>
              </c:multiLvlStrCache>
            </c:multiLvlStrRef>
          </c:cat>
          <c:val>
            <c:numRef>
              <c:f>'Gráfico altas régimen y sexo'!$C$9:$C$12</c:f>
              <c:numCache>
                <c:formatCode>General</c:formatCode>
                <c:ptCount val="2"/>
                <c:pt idx="0">
                  <c:v>7468</c:v>
                </c:pt>
                <c:pt idx="1">
                  <c:v>18158</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CEDER ORIENTAL HUESC</c:v>
                  </c:pt>
                </c:lvl>
              </c:multiLvlStrCache>
            </c:multiLvlStrRef>
          </c:cat>
          <c:val>
            <c:numRef>
              <c:f>'Gráfico altas régimen y sexo'!$D$9:$D$12</c:f>
              <c:numCache>
                <c:formatCode>General</c:formatCode>
                <c:ptCount val="2"/>
                <c:pt idx="0">
                  <c:v>4998</c:v>
                </c:pt>
                <c:pt idx="1">
                  <c:v>11064</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CEDER ORIENTAL HUESC</c:v>
                  </c:pt>
                </c:lvl>
              </c:multiLvlStrCache>
            </c:multiLvlStrRef>
          </c:cat>
          <c:val>
            <c:numRef>
              <c:f>'Gráfico altas régimen y sexo'!$E$9:$E$12</c:f>
              <c:numCache>
                <c:formatCode>General</c:formatCode>
                <c:ptCount val="2"/>
                <c:pt idx="0">
                  <c:v>2470</c:v>
                </c:pt>
                <c:pt idx="1">
                  <c:v>7094</c:v>
                </c:pt>
              </c:numCache>
            </c:numRef>
          </c:val>
        </c:ser>
        <c:dLbls>
          <c:showLegendKey val="0"/>
          <c:showVal val="0"/>
          <c:showCatName val="0"/>
          <c:showSerName val="0"/>
          <c:showPercent val="0"/>
          <c:showBubbleSize val="0"/>
        </c:dLbls>
        <c:gapWidth val="150"/>
        <c:shape val="box"/>
        <c:axId val="112862720"/>
        <c:axId val="112765760"/>
        <c:axId val="0"/>
      </c:bar3DChart>
      <c:catAx>
        <c:axId val="112862720"/>
        <c:scaling>
          <c:orientation val="minMax"/>
        </c:scaling>
        <c:delete val="0"/>
        <c:axPos val="b"/>
        <c:majorTickMark val="out"/>
        <c:minorTickMark val="none"/>
        <c:tickLblPos val="nextTo"/>
        <c:crossAx val="112765760"/>
        <c:crosses val="autoZero"/>
        <c:auto val="1"/>
        <c:lblAlgn val="ctr"/>
        <c:lblOffset val="100"/>
        <c:noMultiLvlLbl val="0"/>
      </c:catAx>
      <c:valAx>
        <c:axId val="112765760"/>
        <c:scaling>
          <c:orientation val="minMax"/>
        </c:scaling>
        <c:delete val="0"/>
        <c:axPos val="l"/>
        <c:majorGridlines/>
        <c:numFmt formatCode="General" sourceLinked="1"/>
        <c:majorTickMark val="out"/>
        <c:minorTickMark val="none"/>
        <c:tickLblPos val="nextTo"/>
        <c:crossAx val="11286272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CEDER</a:t>
            </a:r>
            <a:r>
              <a:rPr lang="en-US" sz="1400" baseline="0"/>
              <a:t> ORIENTAL HUESCA</a:t>
            </a:r>
            <a:endParaRPr lang="en-US" sz="1400"/>
          </a:p>
        </c:rich>
      </c:tx>
      <c:overlay val="1"/>
    </c:title>
    <c:autoTitleDeleted val="0"/>
    <c:pivotFmts>
      <c:pivotFmt>
        <c:idx val="0"/>
      </c:pivotFmt>
      <c:pivotFmt>
        <c:idx val="1"/>
      </c:pivotFmt>
      <c:pivotFmt>
        <c:idx val="2"/>
      </c:pivotFmt>
    </c:pivotFmts>
    <c:plotArea>
      <c:layout>
        <c:manualLayout>
          <c:layoutTarget val="inner"/>
          <c:xMode val="edge"/>
          <c:yMode val="edge"/>
          <c:x val="9.6630232076253625E-2"/>
          <c:y val="0.13885285102784969"/>
          <c:w val="0.87752390326209229"/>
          <c:h val="0.65367343972942971"/>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56500</c:v>
                </c:pt>
                <c:pt idx="1">
                  <c:v>62257</c:v>
                </c:pt>
                <c:pt idx="2">
                  <c:v>64837</c:v>
                </c:pt>
                <c:pt idx="3">
                  <c:v>61529</c:v>
                </c:pt>
                <c:pt idx="4">
                  <c:v>61548</c:v>
                </c:pt>
                <c:pt idx="5">
                  <c:v>62202</c:v>
                </c:pt>
                <c:pt idx="6">
                  <c:v>68075</c:v>
                </c:pt>
                <c:pt idx="7">
                  <c:v>69295</c:v>
                </c:pt>
                <c:pt idx="8">
                  <c:v>66686</c:v>
                </c:pt>
                <c:pt idx="9">
                  <c:v>64408</c:v>
                </c:pt>
                <c:pt idx="10">
                  <c:v>62873</c:v>
                </c:pt>
                <c:pt idx="11">
                  <c:v>67435</c:v>
                </c:pt>
                <c:pt idx="12">
                  <c:v>67830</c:v>
                </c:pt>
              </c:numCache>
            </c:numRef>
          </c:val>
          <c:smooth val="0"/>
        </c:ser>
        <c:dLbls>
          <c:showLegendKey val="0"/>
          <c:showVal val="0"/>
          <c:showCatName val="0"/>
          <c:showSerName val="0"/>
          <c:showPercent val="0"/>
          <c:showBubbleSize val="0"/>
        </c:dLbls>
        <c:marker val="1"/>
        <c:smooth val="0"/>
        <c:axId val="111501312"/>
        <c:axId val="106808448"/>
      </c:lineChart>
      <c:catAx>
        <c:axId val="111501312"/>
        <c:scaling>
          <c:orientation val="minMax"/>
        </c:scaling>
        <c:delete val="0"/>
        <c:axPos val="b"/>
        <c:majorTickMark val="out"/>
        <c:minorTickMark val="none"/>
        <c:tickLblPos val="nextTo"/>
        <c:crossAx val="106808448"/>
        <c:crosses val="autoZero"/>
        <c:auto val="1"/>
        <c:lblAlgn val="ctr"/>
        <c:lblOffset val="100"/>
        <c:noMultiLvlLbl val="0"/>
      </c:catAx>
      <c:valAx>
        <c:axId val="106808448"/>
        <c:scaling>
          <c:orientation val="minMax"/>
        </c:scaling>
        <c:delete val="0"/>
        <c:axPos val="l"/>
        <c:majorGridlines/>
        <c:numFmt formatCode="General" sourceLinked="1"/>
        <c:majorTickMark val="out"/>
        <c:minorTickMark val="none"/>
        <c:tickLblPos val="nextTo"/>
        <c:crossAx val="111501312"/>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a:t>
            </a:r>
            <a:r>
              <a:rPr lang="en-US" sz="1400" baseline="0"/>
              <a:t> por municipio</a:t>
            </a:r>
            <a:endParaRPr lang="en-US" sz="1400"/>
          </a:p>
        </c:rich>
      </c:tx>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
        <c:idx val="83"/>
        <c:marker>
          <c:symbol val="none"/>
        </c:marker>
        <c:dLbl>
          <c:idx val="0"/>
          <c:spPr/>
          <c:txPr>
            <a:bodyPr/>
            <a:lstStyle/>
            <a:p>
              <a:pPr>
                <a:defRPr/>
              </a:pPr>
              <a:endParaRPr lang="es-ES"/>
            </a:p>
          </c:txPr>
          <c:showLegendKey val="0"/>
          <c:showVal val="1"/>
          <c:showCatName val="0"/>
          <c:showSerName val="0"/>
          <c:showPercent val="0"/>
          <c:showBubbleSize val="0"/>
        </c:dLbl>
      </c:pivotFmt>
      <c:pivotFmt>
        <c:idx val="84"/>
        <c:marker>
          <c:symbol val="none"/>
        </c:marker>
        <c:dLbl>
          <c:idx val="0"/>
          <c:spPr/>
          <c:txPr>
            <a:bodyPr/>
            <a:lstStyle/>
            <a:p>
              <a:pPr>
                <a:defRPr/>
              </a:pPr>
              <a:endParaRPr lang="es-ES"/>
            </a:p>
          </c:txPr>
          <c:showLegendKey val="0"/>
          <c:showVal val="1"/>
          <c:showCatName val="0"/>
          <c:showSerName val="0"/>
          <c:showPercent val="0"/>
          <c:showBubbleSize val="0"/>
        </c:dLbl>
      </c:pivotFmt>
      <c:pivotFmt>
        <c:idx val="85"/>
        <c:marker>
          <c:symbol val="none"/>
        </c:marker>
        <c:dLbl>
          <c:idx val="0"/>
          <c:spPr/>
          <c:txPr>
            <a:bodyPr/>
            <a:lstStyle/>
            <a:p>
              <a:pPr>
                <a:defRPr/>
              </a:pPr>
              <a:endParaRPr lang="es-ES"/>
            </a:p>
          </c:txPr>
          <c:showLegendKey val="0"/>
          <c:showVal val="1"/>
          <c:showCatName val="0"/>
          <c:showSerName val="0"/>
          <c:showPercent val="0"/>
          <c:showBubbleSize val="0"/>
        </c:dLbl>
      </c:pivotFmt>
      <c:pivotFmt>
        <c:idx val="86"/>
        <c:marker>
          <c:symbol val="none"/>
        </c:marker>
        <c:dLbl>
          <c:idx val="0"/>
          <c:spPr/>
          <c:txPr>
            <a:bodyPr/>
            <a:lstStyle/>
            <a:p>
              <a:pPr>
                <a:defRPr/>
              </a:pPr>
              <a:endParaRPr lang="es-ES"/>
            </a:p>
          </c:txPr>
          <c:showLegendKey val="0"/>
          <c:showVal val="1"/>
          <c:showCatName val="0"/>
          <c:showSerName val="0"/>
          <c:showPercent val="0"/>
          <c:showBubbleSize val="0"/>
        </c:dLbl>
      </c:pivotFmt>
      <c:pivotFmt>
        <c:idx val="87"/>
        <c:marker>
          <c:symbol val="none"/>
        </c:marker>
        <c:dLbl>
          <c:idx val="0"/>
          <c:spPr/>
          <c:txPr>
            <a:bodyPr/>
            <a:lstStyle/>
            <a:p>
              <a:pPr>
                <a:defRPr/>
              </a:pPr>
              <a:endParaRPr lang="es-ES"/>
            </a:p>
          </c:txPr>
          <c:showLegendKey val="0"/>
          <c:showVal val="1"/>
          <c:showCatName val="0"/>
          <c:showSerName val="0"/>
          <c:showPercent val="0"/>
          <c:showBubbleSize val="0"/>
        </c:dLbl>
      </c:pivotFmt>
      <c:pivotFmt>
        <c:idx val="88"/>
        <c:marker>
          <c:symbol val="none"/>
        </c:marker>
        <c:dLbl>
          <c:idx val="0"/>
          <c:spPr/>
          <c:txPr>
            <a:bodyPr/>
            <a:lstStyle/>
            <a:p>
              <a:pPr>
                <a:defRPr/>
              </a:pPr>
              <a:endParaRPr lang="es-ES"/>
            </a:p>
          </c:txPr>
          <c:showLegendKey val="0"/>
          <c:showVal val="1"/>
          <c:showCatName val="0"/>
          <c:showSerName val="0"/>
          <c:showPercent val="0"/>
          <c:showBubbleSize val="0"/>
        </c:dLbl>
      </c:pivotFmt>
      <c:pivotFmt>
        <c:idx val="89"/>
        <c:marker>
          <c:symbol val="none"/>
        </c:marker>
        <c:dLbl>
          <c:idx val="0"/>
          <c:spPr/>
          <c:txPr>
            <a:bodyPr/>
            <a:lstStyle/>
            <a:p>
              <a:pPr>
                <a:defRPr/>
              </a:pPr>
              <a:endParaRPr lang="es-ES"/>
            </a:p>
          </c:txPr>
          <c:showLegendKey val="0"/>
          <c:showVal val="1"/>
          <c:showCatName val="0"/>
          <c:showSerName val="0"/>
          <c:showPercent val="0"/>
          <c:showBubbleSize val="0"/>
        </c:dLbl>
      </c:pivotFmt>
      <c:pivotFmt>
        <c:idx val="90"/>
        <c:marker>
          <c:symbol val="none"/>
        </c:marker>
        <c:dLbl>
          <c:idx val="0"/>
          <c:spPr/>
          <c:txPr>
            <a:bodyPr/>
            <a:lstStyle/>
            <a:p>
              <a:pPr>
                <a:defRPr/>
              </a:pPr>
              <a:endParaRPr lang="es-ES"/>
            </a:p>
          </c:txPr>
          <c:showLegendKey val="0"/>
          <c:showVal val="1"/>
          <c:showCatName val="0"/>
          <c:showSerName val="0"/>
          <c:showPercent val="0"/>
          <c:showBubbleSize val="0"/>
        </c:dLbl>
      </c:pivotFmt>
      <c:pivotFmt>
        <c:idx val="91"/>
        <c:marker>
          <c:symbol val="none"/>
        </c:marker>
        <c:dLbl>
          <c:idx val="0"/>
          <c:spPr/>
          <c:txPr>
            <a:bodyPr/>
            <a:lstStyle/>
            <a:p>
              <a:pPr>
                <a:defRPr/>
              </a:pPr>
              <a:endParaRPr lang="es-ES"/>
            </a:p>
          </c:txPr>
          <c:showLegendKey val="0"/>
          <c:showVal val="1"/>
          <c:showCatName val="0"/>
          <c:showSerName val="0"/>
          <c:showPercent val="0"/>
          <c:showBubbleSize val="0"/>
        </c:dLbl>
      </c:pivotFmt>
      <c:pivotFmt>
        <c:idx val="92"/>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0</c:v>
                </c:pt>
                <c:pt idx="1">
                  <c:v>2715</c:v>
                </c:pt>
                <c:pt idx="2">
                  <c:v>7448</c:v>
                </c:pt>
                <c:pt idx="3">
                  <c:v>15801</c:v>
                </c:pt>
                <c:pt idx="4">
                  <c:v>9468</c:v>
                </c:pt>
                <c:pt idx="5">
                  <c:v>32124</c:v>
                </c:pt>
                <c:pt idx="6">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 según población</a:t>
            </a:r>
          </a:p>
        </c:rich>
      </c:tx>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
        <c:idx val="12"/>
        <c:marker>
          <c:symbol val="none"/>
        </c:marker>
        <c:dLbl>
          <c:idx val="0"/>
          <c:spPr/>
          <c:txPr>
            <a:bodyPr/>
            <a:lstStyle/>
            <a:p>
              <a:pPr>
                <a:defRPr/>
              </a:pPr>
              <a:endParaRPr lang="es-ES"/>
            </a:p>
          </c:txPr>
          <c:showLegendKey val="0"/>
          <c:showVal val="1"/>
          <c:showCatName val="0"/>
          <c:showSerName val="0"/>
          <c:showPercent val="0"/>
          <c:showBubbleSize val="0"/>
        </c:dLbl>
      </c:pivotFmt>
      <c:pivotFmt>
        <c:idx val="13"/>
        <c:marker>
          <c:symbol val="none"/>
        </c:marker>
        <c:dLbl>
          <c:idx val="0"/>
          <c:spPr/>
          <c:txPr>
            <a:bodyPr/>
            <a:lstStyle/>
            <a:p>
              <a:pPr>
                <a:defRPr/>
              </a:pPr>
              <a:endParaRPr lang="es-ES"/>
            </a:p>
          </c:txPr>
          <c:showLegendKey val="0"/>
          <c:showVal val="1"/>
          <c:showCatName val="0"/>
          <c:showSerName val="0"/>
          <c:showPercent val="0"/>
          <c:showBubbleSize val="0"/>
        </c:dLbl>
      </c:pivotFmt>
      <c:pivotFmt>
        <c:idx val="14"/>
        <c:marker>
          <c:symbol val="none"/>
        </c:marker>
        <c:dLbl>
          <c:idx val="0"/>
          <c:spPr/>
          <c:txPr>
            <a:bodyPr/>
            <a:lstStyle/>
            <a:p>
              <a:pPr>
                <a:defRPr/>
              </a:pPr>
              <a:endParaRPr lang="es-ES"/>
            </a:p>
          </c:txPr>
          <c:showLegendKey val="0"/>
          <c:showVal val="1"/>
          <c:showCatName val="0"/>
          <c:showSerName val="0"/>
          <c:showPercent val="0"/>
          <c:showBubbleSize val="0"/>
        </c:dLbl>
      </c:pivotFmt>
      <c:pivotFmt>
        <c:idx val="15"/>
        <c:marker>
          <c:symbol val="none"/>
        </c:marker>
        <c:dLbl>
          <c:idx val="0"/>
          <c:spPr/>
          <c:txPr>
            <a:bodyPr/>
            <a:lstStyle/>
            <a:p>
              <a:pPr>
                <a:defRPr/>
              </a:pPr>
              <a:endParaRPr lang="es-ES"/>
            </a:p>
          </c:txPr>
          <c:showLegendKey val="0"/>
          <c:showVal val="1"/>
          <c:showCatName val="0"/>
          <c:showSerName val="0"/>
          <c:showPercent val="0"/>
          <c:showBubbleSize val="0"/>
        </c:dLbl>
      </c:pivotFmt>
      <c:pivotFmt>
        <c:idx val="16"/>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0</c:v>
                </c:pt>
                <c:pt idx="1">
                  <c:v>10</c:v>
                </c:pt>
                <c:pt idx="2">
                  <c:v>10</c:v>
                </c:pt>
                <c:pt idx="3">
                  <c:v>9</c:v>
                </c:pt>
                <c:pt idx="4">
                  <c:v>1</c:v>
                </c:pt>
                <c:pt idx="5">
                  <c:v>2</c:v>
                </c:pt>
                <c:pt idx="6">
                  <c:v>0</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 (CEDER ORIENTAL HUESCA)</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8.2280871993540783E-2"/>
          <c:y val="0.138517466373343"/>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CEDER ORIENTAL HUESC</c:v>
                </c:pt>
              </c:strCache>
            </c:strRef>
          </c:cat>
          <c:val>
            <c:numRef>
              <c:f>'nacimientos grupo'!$B$7:$B$8</c:f>
              <c:numCache>
                <c:formatCode>General</c:formatCode>
                <c:ptCount val="1"/>
                <c:pt idx="0">
                  <c:v>597</c:v>
                </c:pt>
              </c:numCache>
            </c:numRef>
          </c:val>
        </c:ser>
        <c:ser>
          <c:idx val="1"/>
          <c:order val="1"/>
          <c:tx>
            <c:strRef>
              <c:f>'nacimientos grupo'!$C$5:$C$6</c:f>
              <c:strCache>
                <c:ptCount val="1"/>
                <c:pt idx="0">
                  <c:v>Año 2011</c:v>
                </c:pt>
              </c:strCache>
            </c:strRef>
          </c:tx>
          <c:invertIfNegative val="0"/>
          <c:cat>
            <c:strRef>
              <c:f>'nacimientos grupo'!$A$7:$A$8</c:f>
              <c:strCache>
                <c:ptCount val="1"/>
                <c:pt idx="0">
                  <c:v>CEDER ORIENTAL HUESC</c:v>
                </c:pt>
              </c:strCache>
            </c:strRef>
          </c:cat>
          <c:val>
            <c:numRef>
              <c:f>'nacimientos grupo'!$C$7:$C$8</c:f>
              <c:numCache>
                <c:formatCode>General</c:formatCode>
                <c:ptCount val="1"/>
                <c:pt idx="0">
                  <c:v>609</c:v>
                </c:pt>
              </c:numCache>
            </c:numRef>
          </c:val>
        </c:ser>
        <c:ser>
          <c:idx val="2"/>
          <c:order val="2"/>
          <c:tx>
            <c:strRef>
              <c:f>'nacimientos grupo'!$D$5:$D$6</c:f>
              <c:strCache>
                <c:ptCount val="1"/>
                <c:pt idx="0">
                  <c:v>Año 2010</c:v>
                </c:pt>
              </c:strCache>
            </c:strRef>
          </c:tx>
          <c:invertIfNegative val="0"/>
          <c:cat>
            <c:strRef>
              <c:f>'nacimientos grupo'!$A$7:$A$8</c:f>
              <c:strCache>
                <c:ptCount val="1"/>
                <c:pt idx="0">
                  <c:v>CEDER ORIENTAL HUESC</c:v>
                </c:pt>
              </c:strCache>
            </c:strRef>
          </c:cat>
          <c:val>
            <c:numRef>
              <c:f>'nacimientos grupo'!$D$7:$D$8</c:f>
              <c:numCache>
                <c:formatCode>General</c:formatCode>
                <c:ptCount val="1"/>
                <c:pt idx="0">
                  <c:v>611</c:v>
                </c:pt>
              </c:numCache>
            </c:numRef>
          </c:val>
        </c:ser>
        <c:ser>
          <c:idx val="3"/>
          <c:order val="3"/>
          <c:tx>
            <c:strRef>
              <c:f>'nacimientos grupo'!$E$5:$E$6</c:f>
              <c:strCache>
                <c:ptCount val="1"/>
                <c:pt idx="0">
                  <c:v>Año 2009</c:v>
                </c:pt>
              </c:strCache>
            </c:strRef>
          </c:tx>
          <c:invertIfNegative val="0"/>
          <c:cat>
            <c:strRef>
              <c:f>'nacimientos grupo'!$A$7:$A$8</c:f>
              <c:strCache>
                <c:ptCount val="1"/>
                <c:pt idx="0">
                  <c:v>CEDER ORIENTAL HUESC</c:v>
                </c:pt>
              </c:strCache>
            </c:strRef>
          </c:cat>
          <c:val>
            <c:numRef>
              <c:f>'nacimientos grupo'!$E$7:$E$8</c:f>
              <c:numCache>
                <c:formatCode>General</c:formatCode>
                <c:ptCount val="1"/>
                <c:pt idx="0">
                  <c:v>618</c:v>
                </c:pt>
              </c:numCache>
            </c:numRef>
          </c:val>
        </c:ser>
        <c:ser>
          <c:idx val="4"/>
          <c:order val="4"/>
          <c:tx>
            <c:strRef>
              <c:f>'nacimientos grupo'!$F$5:$F$6</c:f>
              <c:strCache>
                <c:ptCount val="1"/>
                <c:pt idx="0">
                  <c:v>Año 2008</c:v>
                </c:pt>
              </c:strCache>
            </c:strRef>
          </c:tx>
          <c:invertIfNegative val="0"/>
          <c:cat>
            <c:strRef>
              <c:f>'nacimientos grupo'!$A$7:$A$8</c:f>
              <c:strCache>
                <c:ptCount val="1"/>
                <c:pt idx="0">
                  <c:v>CEDER ORIENTAL HUESC</c:v>
                </c:pt>
              </c:strCache>
            </c:strRef>
          </c:cat>
          <c:val>
            <c:numRef>
              <c:f>'nacimientos grupo'!$F$7:$F$8</c:f>
              <c:numCache>
                <c:formatCode>General</c:formatCode>
                <c:ptCount val="1"/>
                <c:pt idx="0">
                  <c:v>574</c:v>
                </c:pt>
              </c:numCache>
            </c:numRef>
          </c:val>
        </c:ser>
        <c:ser>
          <c:idx val="5"/>
          <c:order val="5"/>
          <c:tx>
            <c:strRef>
              <c:f>'nacimientos grupo'!$G$5:$G$6</c:f>
              <c:strCache>
                <c:ptCount val="1"/>
                <c:pt idx="0">
                  <c:v>Año 2007</c:v>
                </c:pt>
              </c:strCache>
            </c:strRef>
          </c:tx>
          <c:invertIfNegative val="0"/>
          <c:cat>
            <c:strRef>
              <c:f>'nacimientos grupo'!$A$7:$A$8</c:f>
              <c:strCache>
                <c:ptCount val="1"/>
                <c:pt idx="0">
                  <c:v>CEDER ORIENTAL HUESC</c:v>
                </c:pt>
              </c:strCache>
            </c:strRef>
          </c:cat>
          <c:val>
            <c:numRef>
              <c:f>'nacimientos grupo'!$G$7:$G$8</c:f>
              <c:numCache>
                <c:formatCode>General</c:formatCode>
                <c:ptCount val="1"/>
                <c:pt idx="0">
                  <c:v>652</c:v>
                </c:pt>
              </c:numCache>
            </c:numRef>
          </c:val>
        </c:ser>
        <c:dLbls>
          <c:showLegendKey val="0"/>
          <c:showVal val="0"/>
          <c:showCatName val="0"/>
          <c:showSerName val="0"/>
          <c:showPercent val="0"/>
          <c:showBubbleSize val="0"/>
        </c:dLbls>
        <c:gapWidth val="150"/>
        <c:shape val="cylinder"/>
        <c:axId val="108525568"/>
        <c:axId val="106812480"/>
        <c:axId val="0"/>
      </c:bar3DChart>
      <c:catAx>
        <c:axId val="108525568"/>
        <c:scaling>
          <c:orientation val="minMax"/>
        </c:scaling>
        <c:delete val="0"/>
        <c:axPos val="b"/>
        <c:majorTickMark val="out"/>
        <c:minorTickMark val="none"/>
        <c:tickLblPos val="nextTo"/>
        <c:crossAx val="106812480"/>
        <c:crosses val="autoZero"/>
        <c:auto val="1"/>
        <c:lblAlgn val="ctr"/>
        <c:lblOffset val="100"/>
        <c:noMultiLvlLbl val="0"/>
      </c:catAx>
      <c:valAx>
        <c:axId val="106812480"/>
        <c:scaling>
          <c:orientation val="minMax"/>
        </c:scaling>
        <c:delete val="0"/>
        <c:axPos val="l"/>
        <c:majorGridlines/>
        <c:numFmt formatCode="General" sourceLinked="1"/>
        <c:majorTickMark val="out"/>
        <c:minorTickMark val="none"/>
        <c:tickLblPos val="nextTo"/>
        <c:crossAx val="10852556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(CEDER ORIENTALHUESCA)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8.2280871993540783E-2"/>
          <c:y val="0.17200581805684267"/>
          <c:w val="0.90134909123201701"/>
          <c:h val="0.68756697814225509"/>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CEDER ORIENTAL HUESC</c:v>
                </c:pt>
              </c:strCache>
            </c:strRef>
          </c:cat>
          <c:val>
            <c:numRef>
              <c:f>'defunciones grupo'!$B$7:$B$8</c:f>
              <c:numCache>
                <c:formatCode>General</c:formatCode>
                <c:ptCount val="1"/>
                <c:pt idx="0">
                  <c:v>725</c:v>
                </c:pt>
              </c:numCache>
            </c:numRef>
          </c:val>
        </c:ser>
        <c:ser>
          <c:idx val="1"/>
          <c:order val="1"/>
          <c:tx>
            <c:strRef>
              <c:f>'defunciones grupo'!$C$5:$C$6</c:f>
              <c:strCache>
                <c:ptCount val="1"/>
                <c:pt idx="0">
                  <c:v>Año 2011</c:v>
                </c:pt>
              </c:strCache>
            </c:strRef>
          </c:tx>
          <c:invertIfNegative val="0"/>
          <c:cat>
            <c:strRef>
              <c:f>'defunciones grupo'!$A$7:$A$8</c:f>
              <c:strCache>
                <c:ptCount val="1"/>
                <c:pt idx="0">
                  <c:v>CEDER ORIENTAL HUESC</c:v>
                </c:pt>
              </c:strCache>
            </c:strRef>
          </c:cat>
          <c:val>
            <c:numRef>
              <c:f>'defunciones grupo'!$C$7:$C$8</c:f>
              <c:numCache>
                <c:formatCode>General</c:formatCode>
                <c:ptCount val="1"/>
                <c:pt idx="0">
                  <c:v>739</c:v>
                </c:pt>
              </c:numCache>
            </c:numRef>
          </c:val>
        </c:ser>
        <c:ser>
          <c:idx val="2"/>
          <c:order val="2"/>
          <c:tx>
            <c:strRef>
              <c:f>'defunciones grupo'!$D$5:$D$6</c:f>
              <c:strCache>
                <c:ptCount val="1"/>
                <c:pt idx="0">
                  <c:v>Año 2010</c:v>
                </c:pt>
              </c:strCache>
            </c:strRef>
          </c:tx>
          <c:invertIfNegative val="0"/>
          <c:cat>
            <c:strRef>
              <c:f>'defunciones grupo'!$A$7:$A$8</c:f>
              <c:strCache>
                <c:ptCount val="1"/>
                <c:pt idx="0">
                  <c:v>CEDER ORIENTAL HUESC</c:v>
                </c:pt>
              </c:strCache>
            </c:strRef>
          </c:cat>
          <c:val>
            <c:numRef>
              <c:f>'defunciones grupo'!$D$7:$D$8</c:f>
              <c:numCache>
                <c:formatCode>General</c:formatCode>
                <c:ptCount val="1"/>
                <c:pt idx="0">
                  <c:v>750</c:v>
                </c:pt>
              </c:numCache>
            </c:numRef>
          </c:val>
        </c:ser>
        <c:ser>
          <c:idx val="3"/>
          <c:order val="3"/>
          <c:tx>
            <c:strRef>
              <c:f>'defunciones grupo'!$E$5:$E$6</c:f>
              <c:strCache>
                <c:ptCount val="1"/>
                <c:pt idx="0">
                  <c:v>Año 2009</c:v>
                </c:pt>
              </c:strCache>
            </c:strRef>
          </c:tx>
          <c:invertIfNegative val="0"/>
          <c:cat>
            <c:strRef>
              <c:f>'defunciones grupo'!$A$7:$A$8</c:f>
              <c:strCache>
                <c:ptCount val="1"/>
                <c:pt idx="0">
                  <c:v>CEDER ORIENTAL HUESC</c:v>
                </c:pt>
              </c:strCache>
            </c:strRef>
          </c:cat>
          <c:val>
            <c:numRef>
              <c:f>'defunciones grupo'!$E$7:$E$8</c:f>
              <c:numCache>
                <c:formatCode>General</c:formatCode>
                <c:ptCount val="1"/>
                <c:pt idx="0">
                  <c:v>749</c:v>
                </c:pt>
              </c:numCache>
            </c:numRef>
          </c:val>
        </c:ser>
        <c:ser>
          <c:idx val="4"/>
          <c:order val="4"/>
          <c:tx>
            <c:strRef>
              <c:f>'defunciones grupo'!$F$5:$F$6</c:f>
              <c:strCache>
                <c:ptCount val="1"/>
                <c:pt idx="0">
                  <c:v>Año 2008</c:v>
                </c:pt>
              </c:strCache>
            </c:strRef>
          </c:tx>
          <c:invertIfNegative val="0"/>
          <c:cat>
            <c:strRef>
              <c:f>'defunciones grupo'!$A$7:$A$8</c:f>
              <c:strCache>
                <c:ptCount val="1"/>
                <c:pt idx="0">
                  <c:v>CEDER ORIENTAL HUESC</c:v>
                </c:pt>
              </c:strCache>
            </c:strRef>
          </c:cat>
          <c:val>
            <c:numRef>
              <c:f>'defunciones grupo'!$F$7:$F$8</c:f>
              <c:numCache>
                <c:formatCode>General</c:formatCode>
                <c:ptCount val="1"/>
                <c:pt idx="0">
                  <c:v>763</c:v>
                </c:pt>
              </c:numCache>
            </c:numRef>
          </c:val>
        </c:ser>
        <c:ser>
          <c:idx val="5"/>
          <c:order val="5"/>
          <c:tx>
            <c:strRef>
              <c:f>'defunciones grupo'!$G$5:$G$6</c:f>
              <c:strCache>
                <c:ptCount val="1"/>
                <c:pt idx="0">
                  <c:v>Año 2007</c:v>
                </c:pt>
              </c:strCache>
            </c:strRef>
          </c:tx>
          <c:invertIfNegative val="0"/>
          <c:cat>
            <c:strRef>
              <c:f>'defunciones grupo'!$A$7:$A$8</c:f>
              <c:strCache>
                <c:ptCount val="1"/>
                <c:pt idx="0">
                  <c:v>CEDER ORIENTAL HUESC</c:v>
                </c:pt>
              </c:strCache>
            </c:strRef>
          </c:cat>
          <c:val>
            <c:numRef>
              <c:f>'defunciones grupo'!$G$7:$G$8</c:f>
              <c:numCache>
                <c:formatCode>General</c:formatCode>
                <c:ptCount val="1"/>
                <c:pt idx="0">
                  <c:v>731</c:v>
                </c:pt>
              </c:numCache>
            </c:numRef>
          </c:val>
        </c:ser>
        <c:ser>
          <c:idx val="6"/>
          <c:order val="6"/>
          <c:tx>
            <c:strRef>
              <c:f>'defunciones grupo'!$H$5:$H$6</c:f>
              <c:strCache>
                <c:ptCount val="1"/>
                <c:pt idx="0">
                  <c:v>Año 2006</c:v>
                </c:pt>
              </c:strCache>
            </c:strRef>
          </c:tx>
          <c:invertIfNegative val="0"/>
          <c:cat>
            <c:strRef>
              <c:f>'defunciones grupo'!$A$7:$A$8</c:f>
              <c:strCache>
                <c:ptCount val="1"/>
                <c:pt idx="0">
                  <c:v>CEDER ORIENTAL HUESC</c:v>
                </c:pt>
              </c:strCache>
            </c:strRef>
          </c:cat>
          <c:val>
            <c:numRef>
              <c:f>'defunciones grupo'!$H$7:$H$8</c:f>
              <c:numCache>
                <c:formatCode>General</c:formatCode>
                <c:ptCount val="1"/>
                <c:pt idx="0">
                  <c:v>697</c:v>
                </c:pt>
              </c:numCache>
            </c:numRef>
          </c:val>
        </c:ser>
        <c:dLbls>
          <c:showLegendKey val="0"/>
          <c:showVal val="0"/>
          <c:showCatName val="0"/>
          <c:showSerName val="0"/>
          <c:showPercent val="0"/>
          <c:showBubbleSize val="0"/>
        </c:dLbls>
        <c:gapWidth val="150"/>
        <c:shape val="cylinder"/>
        <c:axId val="111504896"/>
        <c:axId val="106814208"/>
        <c:axId val="0"/>
      </c:bar3DChart>
      <c:catAx>
        <c:axId val="111504896"/>
        <c:scaling>
          <c:orientation val="minMax"/>
        </c:scaling>
        <c:delete val="0"/>
        <c:axPos val="b"/>
        <c:majorTickMark val="out"/>
        <c:minorTickMark val="none"/>
        <c:tickLblPos val="nextTo"/>
        <c:crossAx val="106814208"/>
        <c:crosses val="autoZero"/>
        <c:auto val="1"/>
        <c:lblAlgn val="ctr"/>
        <c:lblOffset val="100"/>
        <c:noMultiLvlLbl val="0"/>
      </c:catAx>
      <c:valAx>
        <c:axId val="106814208"/>
        <c:scaling>
          <c:orientation val="minMax"/>
        </c:scaling>
        <c:delete val="0"/>
        <c:axPos val="l"/>
        <c:majorGridlines/>
        <c:numFmt formatCode="General" sourceLinked="1"/>
        <c:majorTickMark val="out"/>
        <c:minorTickMark val="none"/>
        <c:tickLblPos val="nextTo"/>
        <c:crossAx val="11150489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0.10126017585054925"/>
          <c:y val="0.14290153772129277"/>
          <c:w val="0.88943649724705465"/>
          <c:h val="0.72317515342751271"/>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CEDER ORIENTAL HUESC</c:v>
                </c:pt>
              </c:strCache>
            </c:strRef>
          </c:cat>
          <c:val>
            <c:numRef>
              <c:f>'variación residencia grupo'!$B$7:$B$8</c:f>
              <c:numCache>
                <c:formatCode>General</c:formatCode>
                <c:ptCount val="1"/>
                <c:pt idx="0">
                  <c:v>-43</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CEDER ORIENTAL HUESC</c:v>
                </c:pt>
              </c:strCache>
            </c:strRef>
          </c:cat>
          <c:val>
            <c:numRef>
              <c:f>'variación residencia grupo'!$C$7:$C$8</c:f>
              <c:numCache>
                <c:formatCode>General</c:formatCode>
                <c:ptCount val="1"/>
                <c:pt idx="0">
                  <c:v>229</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CEDER ORIENTAL HUESC</c:v>
                </c:pt>
              </c:strCache>
            </c:strRef>
          </c:cat>
          <c:val>
            <c:numRef>
              <c:f>'variación residencia grupo'!$D$7:$D$8</c:f>
              <c:numCache>
                <c:formatCode>General</c:formatCode>
                <c:ptCount val="1"/>
                <c:pt idx="0">
                  <c:v>13</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CEDER ORIENTAL HUESC</c:v>
                </c:pt>
              </c:strCache>
            </c:strRef>
          </c:cat>
          <c:val>
            <c:numRef>
              <c:f>'variación residencia grupo'!$E$7:$E$8</c:f>
              <c:numCache>
                <c:formatCode>General</c:formatCode>
                <c:ptCount val="1"/>
                <c:pt idx="0">
                  <c:v>68</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CEDER ORIENTAL HUESC</c:v>
                </c:pt>
              </c:strCache>
            </c:strRef>
          </c:cat>
          <c:val>
            <c:numRef>
              <c:f>'variación residencia grupo'!$F$7:$F$8</c:f>
              <c:numCache>
                <c:formatCode>General</c:formatCode>
                <c:ptCount val="1"/>
                <c:pt idx="0">
                  <c:v>4</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CEDER ORIENTAL HUESC</c:v>
                </c:pt>
              </c:strCache>
            </c:strRef>
          </c:cat>
          <c:val>
            <c:numRef>
              <c:f>'variación residencia grupo'!$G$7:$G$8</c:f>
              <c:numCache>
                <c:formatCode>General</c:formatCode>
                <c:ptCount val="1"/>
                <c:pt idx="0">
                  <c:v>945</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CEDER ORIENTAL HUESC</c:v>
                </c:pt>
              </c:strCache>
            </c:strRef>
          </c:cat>
          <c:val>
            <c:numRef>
              <c:f>'variación residencia grupo'!$H$7:$H$8</c:f>
              <c:numCache>
                <c:formatCode>General</c:formatCode>
                <c:ptCount val="1"/>
                <c:pt idx="0">
                  <c:v>957</c:v>
                </c:pt>
              </c:numCache>
            </c:numRef>
          </c:val>
        </c:ser>
        <c:dLbls>
          <c:showLegendKey val="0"/>
          <c:showVal val="0"/>
          <c:showCatName val="0"/>
          <c:showSerName val="0"/>
          <c:showPercent val="0"/>
          <c:showBubbleSize val="0"/>
        </c:dLbls>
        <c:gapWidth val="150"/>
        <c:shape val="cylinder"/>
        <c:axId val="112382976"/>
        <c:axId val="112116288"/>
        <c:axId val="0"/>
      </c:bar3DChart>
      <c:catAx>
        <c:axId val="112382976"/>
        <c:scaling>
          <c:orientation val="minMax"/>
        </c:scaling>
        <c:delete val="0"/>
        <c:axPos val="b"/>
        <c:majorTickMark val="out"/>
        <c:minorTickMark val="none"/>
        <c:tickLblPos val="low"/>
        <c:crossAx val="112116288"/>
        <c:crosses val="autoZero"/>
        <c:auto val="1"/>
        <c:lblAlgn val="ctr"/>
        <c:lblOffset val="100"/>
        <c:noMultiLvlLbl val="0"/>
      </c:catAx>
      <c:valAx>
        <c:axId val="112116288"/>
        <c:scaling>
          <c:orientation val="minMax"/>
        </c:scaling>
        <c:delete val="0"/>
        <c:axPos val="l"/>
        <c:majorGridlines/>
        <c:numFmt formatCode="General" sourceLinked="1"/>
        <c:majorTickMark val="out"/>
        <c:minorTickMark val="none"/>
        <c:tickLblPos val="nextTo"/>
        <c:crossAx val="112382976"/>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CEDER ORIENTAL HUESC</c:v>
                </c:pt>
              </c:strCache>
            </c:strRef>
          </c:cat>
          <c:val>
            <c:numRef>
              <c:f>'Tabla porcentajes 2012'!$B$9:$B$10</c:f>
              <c:numCache>
                <c:formatCode>0.0000%</c:formatCode>
                <c:ptCount val="1"/>
                <c:pt idx="0">
                  <c:v>0.21134551067661439</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CEDER ORIENTAL HUESC</c:v>
                </c:pt>
              </c:strCache>
            </c:strRef>
          </c:cat>
          <c:val>
            <c:numRef>
              <c:f>'Tabla porcentajes 2012'!$C$9:$C$10</c:f>
              <c:numCache>
                <c:formatCode>0.0000%</c:formatCode>
                <c:ptCount val="1"/>
                <c:pt idx="0">
                  <c:v>7.0466321243523311E-2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CEDER ORIENTAL HUESC</c:v>
                </c:pt>
              </c:strCache>
            </c:strRef>
          </c:cat>
          <c:val>
            <c:numRef>
              <c:f>'Tabla porcentajes 2012'!$D$9:$D$10</c:f>
              <c:numCache>
                <c:formatCode>0.0000%</c:formatCode>
                <c:ptCount val="1"/>
                <c:pt idx="0">
                  <c:v>4.9472830494728302E-2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CEDER ORIENTAL HUESC</c:v>
                </c:pt>
              </c:strCache>
            </c:strRef>
          </c:cat>
          <c:val>
            <c:numRef>
              <c:f>'Tabla porcentajes 2012'!$E$9:$E$10</c:f>
              <c:numCache>
                <c:formatCode>0.0000%</c:formatCode>
                <c:ptCount val="1"/>
                <c:pt idx="0">
                  <c:v>5.9895495962344017E-2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CEDER ORIENTAL HUESC</c:v>
                </c:pt>
              </c:strCache>
            </c:strRef>
          </c:cat>
          <c:val>
            <c:numRef>
              <c:f>'Tabla porcentajes 2012'!$F$9:$F$10</c:f>
              <c:numCache>
                <c:formatCode>0.0000%</c:formatCode>
                <c:ptCount val="1"/>
                <c:pt idx="0">
                  <c:v>5.2576252163672434E-2</c:v>
                </c:pt>
              </c:numCache>
            </c:numRef>
          </c:val>
        </c:ser>
        <c:dLbls>
          <c:showLegendKey val="0"/>
          <c:showVal val="0"/>
          <c:showCatName val="0"/>
          <c:showSerName val="0"/>
          <c:showPercent val="0"/>
          <c:showBubbleSize val="0"/>
        </c:dLbls>
        <c:gapWidth val="150"/>
        <c:shape val="box"/>
        <c:axId val="112384512"/>
        <c:axId val="112118016"/>
        <c:axId val="0"/>
      </c:bar3DChart>
      <c:catAx>
        <c:axId val="112384512"/>
        <c:scaling>
          <c:orientation val="minMax"/>
        </c:scaling>
        <c:delete val="0"/>
        <c:axPos val="b"/>
        <c:majorTickMark val="out"/>
        <c:minorTickMark val="none"/>
        <c:tickLblPos val="nextTo"/>
        <c:crossAx val="112118016"/>
        <c:crosses val="autoZero"/>
        <c:auto val="1"/>
        <c:lblAlgn val="ctr"/>
        <c:lblOffset val="100"/>
        <c:noMultiLvlLbl val="0"/>
      </c:catAx>
      <c:valAx>
        <c:axId val="112118016"/>
        <c:scaling>
          <c:orientation val="minMax"/>
        </c:scaling>
        <c:delete val="0"/>
        <c:axPos val="l"/>
        <c:majorGridlines/>
        <c:numFmt formatCode="0.00%" sourceLinked="0"/>
        <c:majorTickMark val="out"/>
        <c:minorTickMark val="none"/>
        <c:tickLblPos val="nextTo"/>
        <c:crossAx val="112384512"/>
        <c:crosses val="autoZero"/>
        <c:crossBetween val="between"/>
      </c:valAx>
    </c:plotArea>
    <c:legend>
      <c:legendPos val="b"/>
      <c:layout>
        <c:manualLayout>
          <c:xMode val="edge"/>
          <c:yMode val="edge"/>
          <c:x val="0.72017734301714087"/>
          <c:y val="0.13528673960002788"/>
          <c:w val="0.27706170185200302"/>
          <c:h val="0.79641604533946531"/>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8.2344517790539348E-2"/>
          <c:y val="7.078412073490814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CEDER ORIENTAL HUESC</c:v>
                </c:pt>
              </c:strCache>
            </c:strRef>
          </c:cat>
          <c:val>
            <c:numRef>
              <c:f>'Tabla evolucion 2012-2011'!$B$9</c:f>
              <c:numCache>
                <c:formatCode>General</c:formatCode>
                <c:ptCount val="1"/>
                <c:pt idx="0">
                  <c:v>-27</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CEDER ORIENTAL HUESC</c:v>
                </c:pt>
              </c:strCache>
            </c:strRef>
          </c:cat>
          <c:val>
            <c:numRef>
              <c:f>'Tabla evolucion 2012-2011'!$C$9</c:f>
              <c:numCache>
                <c:formatCode>General</c:formatCode>
                <c:ptCount val="1"/>
                <c:pt idx="0">
                  <c:v>-31</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CEDER ORIENTAL HUESC</c:v>
                </c:pt>
              </c:strCache>
            </c:strRef>
          </c:cat>
          <c:val>
            <c:numRef>
              <c:f>'Tabla evolucion 2012-2011'!$D$9</c:f>
              <c:numCache>
                <c:formatCode>General</c:formatCode>
                <c:ptCount val="1"/>
                <c:pt idx="0">
                  <c:v>-1</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CEDER ORIENTAL HUESC</c:v>
                </c:pt>
              </c:strCache>
            </c:strRef>
          </c:cat>
          <c:val>
            <c:numRef>
              <c:f>'Tabla evolucion 2012-2011'!$E$9</c:f>
              <c:numCache>
                <c:formatCode>General</c:formatCode>
                <c:ptCount val="1"/>
                <c:pt idx="0">
                  <c:v>-178</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CEDER ORIENTAL HUESC</c:v>
                </c:pt>
              </c:strCache>
            </c:strRef>
          </c:cat>
          <c:val>
            <c:numRef>
              <c:f>'Tabla evolucion 2012-2011'!$F$9</c:f>
              <c:numCache>
                <c:formatCode>General</c:formatCode>
                <c:ptCount val="1"/>
                <c:pt idx="0">
                  <c:v>-347</c:v>
                </c:pt>
              </c:numCache>
            </c:numRef>
          </c:val>
        </c:ser>
        <c:dLbls>
          <c:showLegendKey val="0"/>
          <c:showVal val="0"/>
          <c:showCatName val="0"/>
          <c:showSerName val="0"/>
          <c:showPercent val="0"/>
          <c:showBubbleSize val="0"/>
        </c:dLbls>
        <c:gapWidth val="150"/>
        <c:shape val="box"/>
        <c:axId val="112385024"/>
        <c:axId val="112119744"/>
        <c:axId val="0"/>
      </c:bar3DChart>
      <c:catAx>
        <c:axId val="112385024"/>
        <c:scaling>
          <c:orientation val="minMax"/>
        </c:scaling>
        <c:delete val="0"/>
        <c:axPos val="b"/>
        <c:majorTickMark val="out"/>
        <c:minorTickMark val="none"/>
        <c:tickLblPos val="low"/>
        <c:crossAx val="112119744"/>
        <c:crosses val="autoZero"/>
        <c:auto val="1"/>
        <c:lblAlgn val="ctr"/>
        <c:lblOffset val="100"/>
        <c:noMultiLvlLbl val="0"/>
      </c:catAx>
      <c:valAx>
        <c:axId val="112119744"/>
        <c:scaling>
          <c:orientation val="minMax"/>
        </c:scaling>
        <c:delete val="0"/>
        <c:axPos val="l"/>
        <c:majorGridlines/>
        <c:numFmt formatCode="General" sourceLinked="1"/>
        <c:majorTickMark val="out"/>
        <c:minorTickMark val="none"/>
        <c:tickLblPos val="nextTo"/>
        <c:crossAx val="112385024"/>
        <c:crosses val="autoZero"/>
        <c:crossBetween val="between"/>
      </c:valAx>
    </c:plotArea>
    <c:legend>
      <c:legendPos val="b"/>
      <c:layout>
        <c:manualLayout>
          <c:xMode val="edge"/>
          <c:yMode val="edge"/>
          <c:x val="0.75202659700432195"/>
          <c:y val="7.2834049152946778E-2"/>
          <c:w val="0.22997380261677816"/>
          <c:h val="0.8368290411377571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2726,1km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24,88</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DEA4DA32-70D4-4A29-9D6A-E9D208EA2C3F}" type="presOf" srcId="{8A25AA0E-05A3-48A4-9066-D86732F11EE6}" destId="{575C1222-BBA2-426D-9CA7-C61006236803}" srcOrd="0" destOrd="0" presId="urn:microsoft.com/office/officeart/2005/8/layout/hList9"/>
    <dgm:cxn modelId="{831837F2-B540-48F3-91D8-725F1A139E2F}" type="presOf" srcId="{DC8F0761-D699-4726-9FCA-759596682644}" destId="{DACECD24-1E16-43E4-80BE-26CFAFDBDD5C}" srcOrd="1" destOrd="0" presId="urn:microsoft.com/office/officeart/2005/8/layout/hList9"/>
    <dgm:cxn modelId="{089CECFE-0F7B-481C-BA95-03F65A5FDA55}" type="presOf" srcId="{18A8730F-81C8-4E32-8AFC-F641D9564C32}" destId="{E62352AE-7A92-409B-A693-FF5F5F371E72}" srcOrd="0" destOrd="0" presId="urn:microsoft.com/office/officeart/2005/8/layout/hList9"/>
    <dgm:cxn modelId="{F23661FA-D4D5-4F66-9766-BE013364C55A}" srcId="{5A345620-AAE9-43AC-BFA5-7DCF838F6E6A}" destId="{DC8F0761-D699-4726-9FCA-759596682644}" srcOrd="0" destOrd="0" parTransId="{BCF338E4-6CE5-47FC-8844-97E4499475F5}" sibTransId="{3D522E44-48E3-4E26-A847-8B9E2C2F175D}"/>
    <dgm:cxn modelId="{B4D7B75F-EEBF-465C-98A1-5D3AB422E8F3}" srcId="{18A8730F-81C8-4E32-8AFC-F641D9564C32}" destId="{5A345620-AAE9-43AC-BFA5-7DCF838F6E6A}" srcOrd="0" destOrd="0" parTransId="{E6081994-E4C2-4952-BBDE-14351334798F}" sibTransId="{0DB3948C-1A0B-476A-81D8-3AAF2857D4B8}"/>
    <dgm:cxn modelId="{EA870C93-2570-45F3-916F-CDD3AFD80254}" srcId="{18A8730F-81C8-4E32-8AFC-F641D9564C32}" destId="{8A25AA0E-05A3-48A4-9066-D86732F11EE6}" srcOrd="1" destOrd="0" parTransId="{2FE431C9-9F72-4EB8-9D87-44F37525555A}" sibTransId="{5232FD1E-CF5B-454C-B2DE-787AB9121A2B}"/>
    <dgm:cxn modelId="{DDD3B805-9262-478A-9710-CF59B9D51DED}" type="presOf" srcId="{DC8F0761-D699-4726-9FCA-759596682644}" destId="{7E56BCF3-9CB5-4F8B-BE2F-0C63200680D4}" srcOrd="0" destOrd="0" presId="urn:microsoft.com/office/officeart/2005/8/layout/hList9"/>
    <dgm:cxn modelId="{3B56B8A3-6486-4539-9A62-40A90B051CF2}" type="presOf" srcId="{F52A5D61-5B52-41D6-82AD-1AB126421323}" destId="{A37BC357-048C-4C8A-9C7C-39AAB06E79AE}" srcOrd="1" destOrd="0" presId="urn:microsoft.com/office/officeart/2005/8/layout/hList9"/>
    <dgm:cxn modelId="{5B2629B4-9406-4810-B693-CAB4AEECA9E2}" type="presOf" srcId="{5A345620-AAE9-43AC-BFA5-7DCF838F6E6A}" destId="{BF6713A8-036E-43D7-9142-70FA401CC8E0}" srcOrd="0" destOrd="0" presId="urn:microsoft.com/office/officeart/2005/8/layout/hList9"/>
    <dgm:cxn modelId="{A3CD7E36-CD76-4FD7-AEE5-5E600344D1DE}" srcId="{8A25AA0E-05A3-48A4-9066-D86732F11EE6}" destId="{F52A5D61-5B52-41D6-82AD-1AB126421323}" srcOrd="0" destOrd="0" parTransId="{44CB80DE-7E59-49AB-834D-195C1AEC6F98}" sibTransId="{E6BF93AC-B433-416D-AA9F-D813E2E7E394}"/>
    <dgm:cxn modelId="{9D746082-9551-432C-9B82-4EF9CCEF463C}" type="presOf" srcId="{F52A5D61-5B52-41D6-82AD-1AB126421323}" destId="{53641B60-3D2A-48DF-8978-B44702B50950}" srcOrd="0" destOrd="0" presId="urn:microsoft.com/office/officeart/2005/8/layout/hList9"/>
    <dgm:cxn modelId="{93CC31C7-F131-46CB-8B97-8228508B7BC6}" type="presParOf" srcId="{E62352AE-7A92-409B-A693-FF5F5F371E72}" destId="{601C966D-3AF6-4118-B620-1E3EFBE740C9}" srcOrd="0" destOrd="0" presId="urn:microsoft.com/office/officeart/2005/8/layout/hList9"/>
    <dgm:cxn modelId="{63A21A5C-4E46-428F-843E-AB95769B986A}" type="presParOf" srcId="{E62352AE-7A92-409B-A693-FF5F5F371E72}" destId="{F36D099F-EEB4-4F98-872E-B1D06C65E133}" srcOrd="1" destOrd="0" presId="urn:microsoft.com/office/officeart/2005/8/layout/hList9"/>
    <dgm:cxn modelId="{ADCD464A-E72F-4E5B-AA48-740F5BCAC477}" type="presParOf" srcId="{F36D099F-EEB4-4F98-872E-B1D06C65E133}" destId="{DB5C4403-791E-4B02-859B-EC3F5B33D810}" srcOrd="0" destOrd="0" presId="urn:microsoft.com/office/officeart/2005/8/layout/hList9"/>
    <dgm:cxn modelId="{7E23C58A-5EF7-4EAC-AE98-7EAAADF3B49C}" type="presParOf" srcId="{F36D099F-EEB4-4F98-872E-B1D06C65E133}" destId="{8F52367C-0189-4D38-8029-7D76FCD93C77}" srcOrd="1" destOrd="0" presId="urn:microsoft.com/office/officeart/2005/8/layout/hList9"/>
    <dgm:cxn modelId="{65E86941-FFC6-4C57-802D-C0E1EFABAA9F}" type="presParOf" srcId="{8F52367C-0189-4D38-8029-7D76FCD93C77}" destId="{7E56BCF3-9CB5-4F8B-BE2F-0C63200680D4}" srcOrd="0" destOrd="0" presId="urn:microsoft.com/office/officeart/2005/8/layout/hList9"/>
    <dgm:cxn modelId="{4CD7BA29-B137-47AB-B106-D2E5E50E8704}" type="presParOf" srcId="{8F52367C-0189-4D38-8029-7D76FCD93C77}" destId="{DACECD24-1E16-43E4-80BE-26CFAFDBDD5C}" srcOrd="1" destOrd="0" presId="urn:microsoft.com/office/officeart/2005/8/layout/hList9"/>
    <dgm:cxn modelId="{8615D922-D8AE-4B4A-B402-FFFBF008A82A}" type="presParOf" srcId="{E62352AE-7A92-409B-A693-FF5F5F371E72}" destId="{5246FFAB-65CC-4258-8CBF-5E13D423474C}" srcOrd="2" destOrd="0" presId="urn:microsoft.com/office/officeart/2005/8/layout/hList9"/>
    <dgm:cxn modelId="{FA446BE7-6CD4-475D-9DC9-B6B4517A75AF}" type="presParOf" srcId="{E62352AE-7A92-409B-A693-FF5F5F371E72}" destId="{BF6713A8-036E-43D7-9142-70FA401CC8E0}" srcOrd="3" destOrd="0" presId="urn:microsoft.com/office/officeart/2005/8/layout/hList9"/>
    <dgm:cxn modelId="{55E0E96D-D799-4C6C-B2B3-56868388A7FA}" type="presParOf" srcId="{E62352AE-7A92-409B-A693-FF5F5F371E72}" destId="{FB6E445D-BFE8-4AE0-9399-C0EECE766FC0}" srcOrd="4" destOrd="0" presId="urn:microsoft.com/office/officeart/2005/8/layout/hList9"/>
    <dgm:cxn modelId="{95117897-90F9-44EE-9A91-54DE29DDD019}" type="presParOf" srcId="{E62352AE-7A92-409B-A693-FF5F5F371E72}" destId="{99EAC4E4-9F15-4285-B02D-55B2D929CDCE}" srcOrd="5" destOrd="0" presId="urn:microsoft.com/office/officeart/2005/8/layout/hList9"/>
    <dgm:cxn modelId="{E89958D9-8425-4E78-A190-9BAAABB1C2E7}" type="presParOf" srcId="{E62352AE-7A92-409B-A693-FF5F5F371E72}" destId="{C29BD979-117A-4098-82FD-CF9E1B668D9D}" srcOrd="6" destOrd="0" presId="urn:microsoft.com/office/officeart/2005/8/layout/hList9"/>
    <dgm:cxn modelId="{0F5CCC92-D37A-4E09-BB55-254D0239F049}" type="presParOf" srcId="{C29BD979-117A-4098-82FD-CF9E1B668D9D}" destId="{A6CEB835-8B0C-4E1D-9DF6-36136D68911F}" srcOrd="0" destOrd="0" presId="urn:microsoft.com/office/officeart/2005/8/layout/hList9"/>
    <dgm:cxn modelId="{79BB57A6-C5C4-4675-94E1-CFB01FF00B2A}" type="presParOf" srcId="{C29BD979-117A-4098-82FD-CF9E1B668D9D}" destId="{43FC3AB4-C3DD-4D28-BDA2-12470C5C44D6}" srcOrd="1" destOrd="0" presId="urn:microsoft.com/office/officeart/2005/8/layout/hList9"/>
    <dgm:cxn modelId="{100FEBF5-4F9C-43F1-B3C1-356D658852FD}" type="presParOf" srcId="{43FC3AB4-C3DD-4D28-BDA2-12470C5C44D6}" destId="{53641B60-3D2A-48DF-8978-B44702B50950}" srcOrd="0" destOrd="0" presId="urn:microsoft.com/office/officeart/2005/8/layout/hList9"/>
    <dgm:cxn modelId="{E8599613-72C1-46D0-A0B5-F8A694B61FD8}" type="presParOf" srcId="{43FC3AB4-C3DD-4D28-BDA2-12470C5C44D6}" destId="{A37BC357-048C-4C8A-9C7C-39AAB06E79AE}" srcOrd="1" destOrd="0" presId="urn:microsoft.com/office/officeart/2005/8/layout/hList9"/>
    <dgm:cxn modelId="{F5AD4F5F-B965-40AF-8202-3896F7167AB8}" type="presParOf" srcId="{E62352AE-7A92-409B-A693-FF5F5F371E72}" destId="{8196E043-9A47-465E-9AB6-9778260CB821}" srcOrd="7" destOrd="0" presId="urn:microsoft.com/office/officeart/2005/8/layout/hList9"/>
    <dgm:cxn modelId="{DFE0E5EF-6337-4465-B033-6BB9D9EF7B4B}"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2726,1km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24,88</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D6F056-3F96-4B33-A014-971CDA1ED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24</Pages>
  <Words>1807</Words>
  <Characters>9943</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Caracterización territorial de (CEDER ORIENTAL HUESCA)</vt:lpstr>
    </vt:vector>
  </TitlesOfParts>
  <Company/>
  <LinksUpToDate>false</LinksUpToDate>
  <CharactersWithSpaces>11727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Zona Oriental de Huesca. Bajo Cinca-Cinca Medio-La Litera (Ceder Zona Oriental de Huesca)</dc:title>
  <dc:subject/>
  <dc:creator>miriam escorza torrijos</dc:creator>
  <cp:keywords/>
  <dc:description/>
  <cp:lastModifiedBy>miriam escorza torrijos</cp:lastModifiedBy>
  <cp:revision>211</cp:revision>
  <dcterms:created xsi:type="dcterms:W3CDTF">2014-12-16T11:01:00Z</dcterms:created>
  <dcterms:modified xsi:type="dcterms:W3CDTF">2015-02-19T10:30:00Z</dcterms:modified>
</cp:coreProperties>
</file>