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5827482D" wp14:editId="7608D251">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4B7963D0" wp14:editId="0AF6FC1B">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39C" w:rsidRDefault="00B2139C" w:rsidP="00B213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B2139C" w:rsidRDefault="00B2139C" w:rsidP="00B2139C">
                          <w:pPr>
                            <w:jc w:val="center"/>
                          </w:pPr>
                        </w:p>
                      </w:txbxContent>
                    </v:textbox>
                  </v:rec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B2139C" w:rsidRDefault="00B2139C" w:rsidP="00F36D27">
              <w:pPr>
                <w:jc w:val="center"/>
                <w:rPr>
                  <w:b/>
                  <w:color w:val="FFFFFF" w:themeColor="background1"/>
                  <w:sz w:val="44"/>
                  <w:szCs w:val="32"/>
                </w:rPr>
              </w:pPr>
              <w:r w:rsidRPr="00B2139C">
                <w:rPr>
                  <w:b/>
                  <w:color w:val="FFFFFF" w:themeColor="background1"/>
                  <w:sz w:val="32"/>
                </w:rPr>
                <w:t xml:space="preserve">Caracterización territorial de </w:t>
              </w:r>
              <w:proofErr w:type="spellStart"/>
              <w:r w:rsidRPr="00B2139C">
                <w:rPr>
                  <w:b/>
                  <w:color w:val="FFFFFF" w:themeColor="background1"/>
                  <w:sz w:val="32"/>
                </w:rPr>
                <w:t>Valdejalón</w:t>
              </w:r>
              <w:proofErr w:type="spellEnd"/>
              <w:r w:rsidRPr="00B2139C">
                <w:rPr>
                  <w:b/>
                  <w:color w:val="FFFFFF" w:themeColor="background1"/>
                  <w:sz w:val="32"/>
                </w:rPr>
                <w:t xml:space="preserve"> y Campo de Cariñena. Federación para el Desarrollo Integral de </w:t>
              </w:r>
              <w:proofErr w:type="spellStart"/>
              <w:r w:rsidRPr="00B2139C">
                <w:rPr>
                  <w:b/>
                  <w:color w:val="FFFFFF" w:themeColor="background1"/>
                  <w:sz w:val="32"/>
                </w:rPr>
                <w:t>Valdejalón</w:t>
              </w:r>
              <w:proofErr w:type="spellEnd"/>
              <w:r w:rsidRPr="00B2139C">
                <w:rPr>
                  <w:b/>
                  <w:color w:val="FFFFFF" w:themeColor="background1"/>
                  <w:sz w:val="32"/>
                </w:rPr>
                <w:t xml:space="preserve"> y Campo de Cariñena (</w:t>
              </w:r>
              <w:proofErr w:type="spellStart"/>
              <w:r w:rsidRPr="00B2139C">
                <w:rPr>
                  <w:b/>
                  <w:color w:val="FFFFFF" w:themeColor="background1"/>
                  <w:sz w:val="32"/>
                </w:rPr>
                <w:t>Fedivalca</w:t>
              </w:r>
              <w:proofErr w:type="spellEnd"/>
              <w:r w:rsidRPr="00B2139C">
                <w:rPr>
                  <w:b/>
                  <w:color w:val="FFFFFF" w:themeColor="background1"/>
                  <w:sz w:val="32"/>
                </w:rPr>
                <w:t>)</w:t>
              </w:r>
            </w:p>
          </w:sdtContent>
        </w:sdt>
        <w:p w:rsidR="005047FE" w:rsidRDefault="005047FE" w:rsidP="00DA6CCE">
          <w:pPr>
            <w:jc w:val="both"/>
            <w:rPr>
              <w:b/>
              <w:color w:val="000000" w:themeColor="text1"/>
              <w:sz w:val="32"/>
              <w:szCs w:val="32"/>
            </w:rPr>
          </w:pPr>
        </w:p>
        <w:p w:rsidR="005047FE" w:rsidRPr="00B2139C" w:rsidRDefault="008F1315" w:rsidP="00B2139C">
          <w:pPr>
            <w:tabs>
              <w:tab w:val="left" w:pos="1984"/>
            </w:tabs>
            <w:jc w:val="both"/>
            <w:rPr>
              <w:b/>
              <w:color w:val="000000" w:themeColor="text1"/>
              <w:sz w:val="32"/>
              <w:szCs w:val="32"/>
            </w:rPr>
          </w:pPr>
          <w:r>
            <w:rPr>
              <w:b/>
              <w:color w:val="000000" w:themeColor="text1"/>
              <w:sz w:val="32"/>
              <w:szCs w:val="32"/>
            </w:rPr>
            <w:tab/>
          </w:r>
        </w:p>
        <w:p w:rsidR="005B7974" w:rsidRDefault="00B2139C" w:rsidP="00B2139C">
          <w:pPr>
            <w:jc w:val="center"/>
            <w:rPr>
              <w:noProof/>
              <w:lang w:eastAsia="es-ES"/>
            </w:rPr>
          </w:pPr>
          <w:r>
            <w:rPr>
              <w:noProof/>
              <w:lang w:eastAsia="es-ES"/>
            </w:rPr>
            <w:drawing>
              <wp:inline distT="0" distB="0" distL="0" distR="0">
                <wp:extent cx="4902200" cy="5411408"/>
                <wp:effectExtent l="0" t="0" r="0" b="0"/>
                <wp:docPr id="3" name="Imagen 3"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4507" cy="5413955"/>
                        </a:xfrm>
                        <a:prstGeom prst="rect">
                          <a:avLst/>
                        </a:prstGeom>
                        <a:noFill/>
                        <a:ln>
                          <a:noFill/>
                        </a:ln>
                      </pic:spPr>
                    </pic:pic>
                  </a:graphicData>
                </a:graphic>
              </wp:inline>
            </w:drawing>
          </w:r>
        </w:p>
        <w:p w:rsidR="005B7974" w:rsidRDefault="005B7974" w:rsidP="00DA6CCE">
          <w:pPr>
            <w:jc w:val="both"/>
            <w:rPr>
              <w:noProof/>
              <w:lang w:eastAsia="es-ES"/>
            </w:rPr>
          </w:pPr>
        </w:p>
        <w:tbl>
          <w:tblPr>
            <w:tblpPr w:leftFromText="187" w:rightFromText="187" w:vertAnchor="page" w:horzAnchor="margin" w:tblpXSpec="right" w:tblpY="15081"/>
            <w:tblOverlap w:val="never"/>
            <w:tblW w:w="0" w:type="auto"/>
            <w:tblLook w:val="04A0" w:firstRow="1" w:lastRow="0" w:firstColumn="1" w:lastColumn="0" w:noHBand="0" w:noVBand="1"/>
          </w:tblPr>
          <w:tblGrid>
            <w:gridCol w:w="8720"/>
          </w:tblGrid>
          <w:tr w:rsidR="00B2139C" w:rsidTr="00B2139C">
            <w:trPr>
              <w:trHeight w:val="360"/>
            </w:trPr>
            <w:tc>
              <w:tcPr>
                <w:tcW w:w="8720" w:type="dxa"/>
              </w:tcPr>
              <w:p w:rsidR="00B2139C" w:rsidRPr="005047FE" w:rsidRDefault="00B2139C" w:rsidP="00B2139C">
                <w:pPr>
                  <w:pStyle w:val="Sinespaciado"/>
                  <w:jc w:val="both"/>
                  <w:rPr>
                    <w:b/>
                    <w:color w:val="000000" w:themeColor="text1"/>
                    <w:sz w:val="32"/>
                    <w:szCs w:val="32"/>
                  </w:rPr>
                </w:pPr>
                <w:r w:rsidRPr="005047FE">
                  <w:rPr>
                    <w:b/>
                    <w:color w:val="000000" w:themeColor="text1"/>
                    <w:sz w:val="32"/>
                    <w:szCs w:val="32"/>
                  </w:rPr>
                  <w:t>RADR</w:t>
                </w:r>
              </w:p>
            </w:tc>
          </w:tr>
        </w:tbl>
        <w:p w:rsidR="005B7974" w:rsidRDefault="005B7974" w:rsidP="00DA6CCE">
          <w:pPr>
            <w:jc w:val="both"/>
            <w:rPr>
              <w:noProof/>
              <w:lang w:eastAsia="es-ES"/>
            </w:rPr>
          </w:pPr>
        </w:p>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40324D9C" wp14:editId="64D81D2E">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51E460CD" wp14:editId="41627250">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82A0A" w:rsidRDefault="00482A0A" w:rsidP="00DA6CCE">
          <w:pPr>
            <w:jc w:val="both"/>
            <w:rPr>
              <w:noProof/>
              <w:lang w:eastAsia="es-ES"/>
            </w:rPr>
          </w:pPr>
        </w:p>
        <w:tbl>
          <w:tblPr>
            <w:tblStyle w:val="Sombreadomedio1-nfasis4"/>
            <w:tblW w:w="8862" w:type="dxa"/>
            <w:tblLook w:val="04A0" w:firstRow="1" w:lastRow="0" w:firstColumn="1" w:lastColumn="0" w:noHBand="0" w:noVBand="1"/>
          </w:tblPr>
          <w:tblGrid>
            <w:gridCol w:w="2962"/>
            <w:gridCol w:w="1696"/>
            <w:gridCol w:w="1433"/>
            <w:gridCol w:w="1338"/>
            <w:gridCol w:w="1433"/>
          </w:tblGrid>
          <w:tr w:rsidR="00315A51" w:rsidRPr="00315A51" w:rsidTr="00315A51">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62" w:type="dxa"/>
                <w:noWrap/>
                <w:hideMark/>
              </w:tcPr>
              <w:p w:rsidR="00315A51" w:rsidRPr="00315A51" w:rsidRDefault="00315A51" w:rsidP="00315A51">
                <w:pPr>
                  <w:jc w:val="center"/>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GRUPO</w:t>
                </w:r>
              </w:p>
            </w:tc>
            <w:tc>
              <w:tcPr>
                <w:tcW w:w="1696" w:type="dxa"/>
                <w:noWrap/>
                <w:hideMark/>
              </w:tcPr>
              <w:p w:rsidR="00315A51" w:rsidRPr="00315A51" w:rsidRDefault="00315A51" w:rsidP="00315A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FEDIVALCA</w:t>
                </w:r>
              </w:p>
            </w:tc>
            <w:tc>
              <w:tcPr>
                <w:tcW w:w="1433" w:type="dxa"/>
                <w:noWrap/>
                <w:hideMark/>
              </w:tcPr>
              <w:p w:rsidR="00315A51" w:rsidRPr="00315A51" w:rsidRDefault="00315A51" w:rsidP="00315A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338" w:type="dxa"/>
                <w:noWrap/>
                <w:hideMark/>
              </w:tcPr>
              <w:p w:rsidR="00315A51" w:rsidRPr="00315A51" w:rsidRDefault="00315A51" w:rsidP="00315A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433" w:type="dxa"/>
                <w:noWrap/>
                <w:hideMark/>
              </w:tcPr>
              <w:p w:rsidR="00315A51" w:rsidRPr="00315A51" w:rsidRDefault="00315A51" w:rsidP="00315A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r>
          <w:tr w:rsidR="00315A51" w:rsidRPr="00315A51" w:rsidTr="00315A5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62" w:type="dxa"/>
                <w:vMerge w:val="restart"/>
                <w:hideMark/>
              </w:tcPr>
              <w:p w:rsidR="00315A51" w:rsidRPr="00315A51" w:rsidRDefault="00315A51" w:rsidP="00315A51">
                <w:pPr>
                  <w:jc w:val="center"/>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Clasificación zona</w:t>
                </w:r>
              </w:p>
            </w:tc>
            <w:tc>
              <w:tcPr>
                <w:tcW w:w="3129" w:type="dxa"/>
                <w:gridSpan w:val="2"/>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315A51">
                  <w:rPr>
                    <w:rFonts w:ascii="Calibri" w:eastAsia="Times New Roman" w:hAnsi="Calibri" w:cs="Times New Roman"/>
                    <w:b/>
                    <w:bCs/>
                    <w:sz w:val="20"/>
                    <w:szCs w:val="20"/>
                    <w:lang w:eastAsia="es-ES"/>
                  </w:rPr>
                  <w:t>Población</w:t>
                </w:r>
              </w:p>
            </w:tc>
            <w:tc>
              <w:tcPr>
                <w:tcW w:w="2771" w:type="dxa"/>
                <w:gridSpan w:val="2"/>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315A51">
                  <w:rPr>
                    <w:rFonts w:ascii="Calibri" w:eastAsia="Times New Roman" w:hAnsi="Calibri" w:cs="Times New Roman"/>
                    <w:b/>
                    <w:bCs/>
                    <w:sz w:val="20"/>
                    <w:szCs w:val="20"/>
                    <w:lang w:eastAsia="es-ES"/>
                  </w:rPr>
                  <w:t>Localidades</w:t>
                </w:r>
              </w:p>
            </w:tc>
          </w:tr>
          <w:tr w:rsidR="00315A51" w:rsidRPr="00315A51" w:rsidTr="00315A51">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62" w:type="dxa"/>
                <w:vMerge/>
                <w:hideMark/>
              </w:tcPr>
              <w:p w:rsidR="00315A51" w:rsidRPr="00315A51" w:rsidRDefault="00315A51" w:rsidP="00315A51">
                <w:pPr>
                  <w:rPr>
                    <w:rFonts w:ascii="Calibri" w:eastAsia="Times New Roman" w:hAnsi="Calibri" w:cs="Times New Roman"/>
                    <w:sz w:val="20"/>
                    <w:szCs w:val="20"/>
                    <w:lang w:eastAsia="es-ES"/>
                  </w:rPr>
                </w:pPr>
              </w:p>
            </w:tc>
            <w:tc>
              <w:tcPr>
                <w:tcW w:w="1696"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315A51">
                  <w:rPr>
                    <w:rFonts w:ascii="Calibri" w:eastAsia="Times New Roman" w:hAnsi="Calibri" w:cs="Times New Roman"/>
                    <w:b/>
                    <w:bCs/>
                    <w:sz w:val="20"/>
                    <w:szCs w:val="20"/>
                    <w:lang w:eastAsia="es-ES"/>
                  </w:rPr>
                  <w:t>Nº</w:t>
                </w:r>
              </w:p>
            </w:tc>
            <w:tc>
              <w:tcPr>
                <w:tcW w:w="1433"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315A51">
                  <w:rPr>
                    <w:rFonts w:ascii="Calibri" w:eastAsia="Times New Roman" w:hAnsi="Calibri" w:cs="Times New Roman"/>
                    <w:b/>
                    <w:bCs/>
                    <w:sz w:val="20"/>
                    <w:szCs w:val="20"/>
                    <w:lang w:eastAsia="es-ES"/>
                  </w:rPr>
                  <w:t>%</w:t>
                </w:r>
              </w:p>
            </w:tc>
            <w:tc>
              <w:tcPr>
                <w:tcW w:w="1338"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315A51">
                  <w:rPr>
                    <w:rFonts w:ascii="Calibri" w:eastAsia="Times New Roman" w:hAnsi="Calibri" w:cs="Times New Roman"/>
                    <w:b/>
                    <w:bCs/>
                    <w:sz w:val="20"/>
                    <w:szCs w:val="20"/>
                    <w:lang w:eastAsia="es-ES"/>
                  </w:rPr>
                  <w:t>Nº</w:t>
                </w:r>
              </w:p>
            </w:tc>
            <w:tc>
              <w:tcPr>
                <w:tcW w:w="1433"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315A51">
                  <w:rPr>
                    <w:rFonts w:ascii="Calibri" w:eastAsia="Times New Roman" w:hAnsi="Calibri" w:cs="Times New Roman"/>
                    <w:b/>
                    <w:bCs/>
                    <w:sz w:val="20"/>
                    <w:szCs w:val="20"/>
                    <w:lang w:eastAsia="es-ES"/>
                  </w:rPr>
                  <w:t>%</w:t>
                </w:r>
              </w:p>
            </w:tc>
          </w:tr>
          <w:tr w:rsidR="00315A51" w:rsidRPr="00315A51" w:rsidTr="00315A5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62" w:type="dxa"/>
                <w:noWrap/>
                <w:hideMark/>
              </w:tcPr>
              <w:p w:rsidR="00315A51" w:rsidRPr="00315A51" w:rsidRDefault="00315A51" w:rsidP="00315A51">
                <w:pPr>
                  <w:jc w:val="center"/>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Zona rural (&lt;2000)</w:t>
                </w:r>
              </w:p>
            </w:tc>
            <w:tc>
              <w:tcPr>
                <w:tcW w:w="1696" w:type="dxa"/>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13954</w:t>
                </w:r>
              </w:p>
            </w:tc>
            <w:tc>
              <w:tcPr>
                <w:tcW w:w="1433" w:type="dxa"/>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33,85%</w:t>
                </w:r>
              </w:p>
            </w:tc>
            <w:tc>
              <w:tcPr>
                <w:tcW w:w="1338" w:type="dxa"/>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28</w:t>
                </w:r>
              </w:p>
            </w:tc>
            <w:tc>
              <w:tcPr>
                <w:tcW w:w="1433" w:type="dxa"/>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82,35%</w:t>
                </w:r>
              </w:p>
            </w:tc>
          </w:tr>
          <w:tr w:rsidR="00315A51" w:rsidRPr="00315A51" w:rsidTr="00315A51">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62" w:type="dxa"/>
                <w:noWrap/>
                <w:hideMark/>
              </w:tcPr>
              <w:p w:rsidR="00315A51" w:rsidRPr="00315A51" w:rsidRDefault="00315A51" w:rsidP="00315A51">
                <w:pPr>
                  <w:jc w:val="center"/>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Zona intermedia (&lt; 10000)</w:t>
                </w:r>
              </w:p>
            </w:tc>
            <w:tc>
              <w:tcPr>
                <w:tcW w:w="1696"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27275</w:t>
                </w:r>
              </w:p>
            </w:tc>
            <w:tc>
              <w:tcPr>
                <w:tcW w:w="1433"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66,15%</w:t>
                </w:r>
              </w:p>
            </w:tc>
            <w:tc>
              <w:tcPr>
                <w:tcW w:w="1338"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6</w:t>
                </w:r>
              </w:p>
            </w:tc>
            <w:tc>
              <w:tcPr>
                <w:tcW w:w="1433"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17,65%</w:t>
                </w:r>
              </w:p>
            </w:tc>
          </w:tr>
          <w:tr w:rsidR="00315A51" w:rsidRPr="00315A51" w:rsidTr="00315A5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62" w:type="dxa"/>
                <w:noWrap/>
                <w:hideMark/>
              </w:tcPr>
              <w:p w:rsidR="00315A51" w:rsidRPr="00315A51" w:rsidRDefault="00315A51" w:rsidP="00315A51">
                <w:pPr>
                  <w:jc w:val="center"/>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Zona urbana (&gt; 10000)</w:t>
                </w:r>
              </w:p>
            </w:tc>
            <w:tc>
              <w:tcPr>
                <w:tcW w:w="1696" w:type="dxa"/>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0</w:t>
                </w:r>
              </w:p>
            </w:tc>
            <w:tc>
              <w:tcPr>
                <w:tcW w:w="1433" w:type="dxa"/>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0,00%</w:t>
                </w:r>
              </w:p>
            </w:tc>
            <w:tc>
              <w:tcPr>
                <w:tcW w:w="1338" w:type="dxa"/>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0</w:t>
                </w:r>
              </w:p>
            </w:tc>
            <w:tc>
              <w:tcPr>
                <w:tcW w:w="1433" w:type="dxa"/>
                <w:noWrap/>
                <w:hideMark/>
              </w:tcPr>
              <w:p w:rsidR="00315A51" w:rsidRPr="00315A51" w:rsidRDefault="00315A51" w:rsidP="00315A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0,00%</w:t>
                </w:r>
              </w:p>
            </w:tc>
          </w:tr>
          <w:tr w:rsidR="00315A51" w:rsidRPr="00315A51" w:rsidTr="00315A51">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62" w:type="dxa"/>
                <w:noWrap/>
                <w:hideMark/>
              </w:tcPr>
              <w:p w:rsidR="00315A51" w:rsidRPr="00315A51" w:rsidRDefault="00315A51" w:rsidP="00315A51">
                <w:pPr>
                  <w:jc w:val="center"/>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Total</w:t>
                </w:r>
              </w:p>
            </w:tc>
            <w:tc>
              <w:tcPr>
                <w:tcW w:w="1696"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41229</w:t>
                </w:r>
              </w:p>
            </w:tc>
            <w:tc>
              <w:tcPr>
                <w:tcW w:w="1433"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100,00%</w:t>
                </w:r>
              </w:p>
            </w:tc>
            <w:tc>
              <w:tcPr>
                <w:tcW w:w="1338"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34</w:t>
                </w:r>
              </w:p>
            </w:tc>
            <w:tc>
              <w:tcPr>
                <w:tcW w:w="1433" w:type="dxa"/>
                <w:noWrap/>
                <w:hideMark/>
              </w:tcPr>
              <w:p w:rsidR="00315A51" w:rsidRPr="00315A51" w:rsidRDefault="00315A51" w:rsidP="00315A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315A51">
                  <w:rPr>
                    <w:rFonts w:ascii="Calibri" w:eastAsia="Times New Roman" w:hAnsi="Calibri"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047FE" w:rsidRDefault="00315A51" w:rsidP="00482A0A">
          <w:pPr>
            <w:pStyle w:val="Prrafodelista"/>
            <w:ind w:left="284"/>
            <w:jc w:val="both"/>
            <w:rPr>
              <w:noProof/>
              <w:lang w:eastAsia="es-ES"/>
            </w:rPr>
          </w:pPr>
          <w:r>
            <w:rPr>
              <w:noProof/>
              <w:lang w:eastAsia="es-ES"/>
            </w:rPr>
            <w:drawing>
              <wp:inline distT="0" distB="0" distL="0" distR="0" wp14:anchorId="78C838BB" wp14:editId="34355DB0">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65A0" w:rsidRDefault="001B65A0"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AE51FF" w:rsidP="00DC45B6">
          <w:pPr>
            <w:pStyle w:val="Prrafodelista"/>
            <w:ind w:left="426"/>
            <w:jc w:val="center"/>
            <w:rPr>
              <w:b/>
              <w:sz w:val="24"/>
              <w:szCs w:val="24"/>
            </w:rPr>
          </w:pPr>
          <w:r>
            <w:rPr>
              <w:noProof/>
              <w:lang w:eastAsia="es-ES"/>
            </w:rPr>
            <w:drawing>
              <wp:inline distT="0" distB="0" distL="0" distR="0" wp14:anchorId="7E57F73C" wp14:editId="0FB4B1E2">
                <wp:extent cx="5598160" cy="3159760"/>
                <wp:effectExtent l="0" t="0" r="21590" b="2159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482A0A" w:rsidRDefault="00482A0A" w:rsidP="00482A0A">
          <w:pPr>
            <w:pStyle w:val="Prrafodelista"/>
            <w:jc w:val="both"/>
            <w:rPr>
              <w:sz w:val="24"/>
              <w:szCs w:val="24"/>
            </w:rPr>
          </w:pPr>
        </w:p>
        <w:p w:rsidR="00533C22" w:rsidRDefault="00AE51FF" w:rsidP="0026445A">
          <w:pPr>
            <w:pStyle w:val="Prrafodelista"/>
            <w:ind w:left="567"/>
            <w:rPr>
              <w:sz w:val="24"/>
              <w:szCs w:val="24"/>
            </w:rPr>
          </w:pPr>
          <w:r w:rsidRPr="00AE51FF">
            <w:rPr>
              <w:noProof/>
              <w:lang w:eastAsia="es-ES"/>
            </w:rPr>
            <w:drawing>
              <wp:inline distT="0" distB="0" distL="0" distR="0" wp14:anchorId="2218F2F6" wp14:editId="322D8243">
                <wp:extent cx="5608320" cy="112776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601" cy="1128822"/>
                        </a:xfrm>
                        <a:prstGeom prst="rect">
                          <a:avLst/>
                        </a:prstGeom>
                        <a:noFill/>
                        <a:ln>
                          <a:noFill/>
                        </a:ln>
                      </pic:spPr>
                    </pic:pic>
                  </a:graphicData>
                </a:graphic>
              </wp:inline>
            </w:drawing>
          </w:r>
        </w:p>
        <w:p w:rsidR="00A33934" w:rsidRPr="00A33934" w:rsidRDefault="00A33934" w:rsidP="00A33934">
          <w:pPr>
            <w:pStyle w:val="Prrafodelista"/>
            <w:jc w:val="both"/>
            <w:rPr>
              <w:sz w:val="24"/>
              <w:szCs w:val="24"/>
            </w:rPr>
          </w:pPr>
        </w:p>
        <w:p w:rsidR="00533C22"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A33934" w:rsidRPr="00FA17CC" w:rsidRDefault="00A33934" w:rsidP="00A33934">
          <w:pPr>
            <w:pStyle w:val="Prrafodelista"/>
            <w:jc w:val="both"/>
            <w:rPr>
              <w:sz w:val="24"/>
              <w:szCs w:val="24"/>
            </w:rPr>
          </w:pPr>
        </w:p>
        <w:p w:rsidR="00533C22" w:rsidRDefault="00AE51FF" w:rsidP="00CE7FA3">
          <w:pPr>
            <w:pStyle w:val="Prrafodelista"/>
            <w:ind w:left="567"/>
            <w:jc w:val="both"/>
            <w:rPr>
              <w:sz w:val="24"/>
              <w:szCs w:val="24"/>
            </w:rPr>
          </w:pPr>
          <w:r w:rsidRPr="00AE51FF">
            <w:rPr>
              <w:noProof/>
              <w:lang w:eastAsia="es-ES"/>
            </w:rPr>
            <w:drawing>
              <wp:inline distT="0" distB="0" distL="0" distR="0" wp14:anchorId="16EB1557" wp14:editId="539E6BA4">
                <wp:extent cx="5659120" cy="12496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4450" cy="1250857"/>
                        </a:xfrm>
                        <a:prstGeom prst="rect">
                          <a:avLst/>
                        </a:prstGeom>
                        <a:noFill/>
                        <a:ln>
                          <a:noFill/>
                        </a:ln>
                      </pic:spPr>
                    </pic:pic>
                  </a:graphicData>
                </a:graphic>
              </wp:inline>
            </w:drawing>
          </w:r>
        </w:p>
        <w:p w:rsidR="00E558B9" w:rsidRPr="0092710E" w:rsidRDefault="00E558B9"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AE51FF" w:rsidP="00DA6CCE">
          <w:pPr>
            <w:pStyle w:val="Prrafodelista"/>
            <w:ind w:left="426"/>
            <w:jc w:val="both"/>
          </w:pPr>
          <w:r w:rsidRPr="00AE51FF">
            <w:rPr>
              <w:noProof/>
              <w:lang w:eastAsia="es-ES"/>
            </w:rPr>
            <w:drawing>
              <wp:inline distT="0" distB="0" distL="0" distR="0" wp14:anchorId="7F9465E4" wp14:editId="7B15CA92">
                <wp:extent cx="5689600" cy="528320"/>
                <wp:effectExtent l="0" t="0" r="635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387" cy="532200"/>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AE51FF" w:rsidP="00DA6CCE">
          <w:pPr>
            <w:pStyle w:val="Prrafodelista"/>
            <w:ind w:left="426"/>
            <w:jc w:val="both"/>
            <w:rPr>
              <w:b/>
              <w:sz w:val="24"/>
              <w:szCs w:val="24"/>
            </w:rPr>
          </w:pPr>
          <w:r w:rsidRPr="00AE51FF">
            <w:rPr>
              <w:noProof/>
              <w:lang w:eastAsia="es-ES"/>
            </w:rPr>
            <w:drawing>
              <wp:inline distT="0" distB="0" distL="0" distR="0" wp14:anchorId="0E092EDD" wp14:editId="11579673">
                <wp:extent cx="5689600" cy="467360"/>
                <wp:effectExtent l="0" t="0" r="635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393" cy="470793"/>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AE51FF" w:rsidP="00DA6CCE">
          <w:pPr>
            <w:pStyle w:val="Prrafodelista"/>
            <w:ind w:left="426"/>
            <w:jc w:val="both"/>
            <w:rPr>
              <w:b/>
              <w:sz w:val="24"/>
              <w:szCs w:val="24"/>
            </w:rPr>
          </w:pPr>
          <w:r w:rsidRPr="00AE51FF">
            <w:rPr>
              <w:noProof/>
              <w:lang w:eastAsia="es-ES"/>
            </w:rPr>
            <w:drawing>
              <wp:inline distT="0" distB="0" distL="0" distR="0" wp14:anchorId="68337C29" wp14:editId="1A2F2E8D">
                <wp:extent cx="5689600" cy="47752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397" cy="481028"/>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AE51FF" w:rsidP="00FA17CC">
          <w:pPr>
            <w:pStyle w:val="Prrafodelista"/>
            <w:ind w:hanging="153"/>
            <w:jc w:val="both"/>
            <w:rPr>
              <w:b/>
              <w:sz w:val="24"/>
              <w:szCs w:val="24"/>
            </w:rPr>
          </w:pPr>
          <w:r>
            <w:rPr>
              <w:noProof/>
              <w:lang w:eastAsia="es-ES"/>
            </w:rPr>
            <w:drawing>
              <wp:inline distT="0" distB="0" distL="0" distR="0" wp14:anchorId="1F19A227" wp14:editId="356E7E39">
                <wp:extent cx="5400040" cy="2457452"/>
                <wp:effectExtent l="38100" t="0" r="1016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AE51FF" w:rsidP="00FA17CC">
          <w:pPr>
            <w:pStyle w:val="Prrafodelista"/>
            <w:ind w:left="709" w:right="-1" w:hanging="142"/>
            <w:jc w:val="both"/>
            <w:rPr>
              <w:b/>
              <w:sz w:val="24"/>
              <w:szCs w:val="24"/>
            </w:rPr>
          </w:pPr>
          <w:r>
            <w:rPr>
              <w:noProof/>
              <w:lang w:eastAsia="es-ES"/>
            </w:rPr>
            <w:drawing>
              <wp:inline distT="0" distB="0" distL="0" distR="0" wp14:anchorId="6AED1231" wp14:editId="23DFD890">
                <wp:extent cx="5394960" cy="2885440"/>
                <wp:effectExtent l="0" t="0" r="15240" b="1016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2A0A" w:rsidRPr="008E7AAF" w:rsidRDefault="00482A0A"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AE51FF" w:rsidRPr="00AE51FF" w:rsidTr="00AE51FF">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E51FF" w:rsidRPr="00AE51FF" w:rsidRDefault="00AE51FF" w:rsidP="00AE51FF">
                <w:pPr>
                  <w:jc w:val="center"/>
                  <w:rPr>
                    <w:rFonts w:eastAsia="Times New Roman" w:cs="Times New Roman"/>
                    <w:sz w:val="20"/>
                    <w:szCs w:val="20"/>
                    <w:lang w:eastAsia="es-ES"/>
                  </w:rPr>
                </w:pPr>
                <w:r w:rsidRPr="00AE51FF">
                  <w:rPr>
                    <w:rFonts w:eastAsia="Times New Roman" w:cs="Times New Roman"/>
                    <w:sz w:val="20"/>
                    <w:szCs w:val="20"/>
                    <w:lang w:eastAsia="es-ES"/>
                  </w:rPr>
                  <w:t>Tasa de masculinidad</w:t>
                </w:r>
              </w:p>
            </w:tc>
            <w:tc>
              <w:tcPr>
                <w:tcW w:w="2420" w:type="dxa"/>
                <w:vMerge w:val="restart"/>
                <w:noWrap/>
                <w:hideMark/>
              </w:tcPr>
              <w:p w:rsidR="00AE51FF" w:rsidRPr="00AE51FF" w:rsidRDefault="00AE51FF" w:rsidP="00AE51F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AE51FF">
                  <w:rPr>
                    <w:rFonts w:eastAsia="Times New Roman" w:cs="Times New Roman"/>
                    <w:sz w:val="20"/>
                    <w:szCs w:val="20"/>
                    <w:lang w:eastAsia="es-ES"/>
                  </w:rPr>
                  <w:t>Aragón</w:t>
                </w:r>
              </w:p>
            </w:tc>
            <w:tc>
              <w:tcPr>
                <w:tcW w:w="2800" w:type="dxa"/>
                <w:vMerge w:val="restart"/>
                <w:noWrap/>
                <w:hideMark/>
              </w:tcPr>
              <w:p w:rsidR="00AE51FF" w:rsidRPr="00AE51FF" w:rsidRDefault="00AE51FF" w:rsidP="00AE51F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AE51FF">
                  <w:rPr>
                    <w:rFonts w:eastAsia="Times New Roman" w:cs="Times New Roman"/>
                    <w:sz w:val="20"/>
                    <w:szCs w:val="20"/>
                    <w:lang w:eastAsia="es-ES"/>
                  </w:rPr>
                  <w:t>GAL</w:t>
                </w: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E51FF" w:rsidRPr="00AE51FF" w:rsidRDefault="00AE51FF" w:rsidP="00AE51FF">
                <w:pPr>
                  <w:rPr>
                    <w:rFonts w:eastAsia="Times New Roman" w:cs="Times New Roman"/>
                    <w:sz w:val="20"/>
                    <w:szCs w:val="20"/>
                    <w:lang w:eastAsia="es-ES"/>
                  </w:rPr>
                </w:pPr>
              </w:p>
            </w:tc>
            <w:tc>
              <w:tcPr>
                <w:tcW w:w="2420" w:type="dxa"/>
                <w:vMerge/>
                <w:hideMark/>
              </w:tcPr>
              <w:p w:rsidR="00AE51FF" w:rsidRPr="00AE51FF" w:rsidRDefault="00AE51FF" w:rsidP="00AE51F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AE51FF" w:rsidRPr="00AE51FF" w:rsidRDefault="00AE51FF" w:rsidP="00AE51F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AE51FF" w:rsidRPr="00AE51FF" w:rsidTr="00AE51F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E51FF" w:rsidRPr="00AE51FF" w:rsidRDefault="00AE51FF" w:rsidP="00AE51FF">
                <w:pPr>
                  <w:rPr>
                    <w:rFonts w:eastAsia="Times New Roman" w:cs="Times New Roman"/>
                    <w:sz w:val="20"/>
                    <w:szCs w:val="20"/>
                    <w:lang w:eastAsia="es-ES"/>
                  </w:rPr>
                </w:pPr>
              </w:p>
            </w:tc>
            <w:tc>
              <w:tcPr>
                <w:tcW w:w="242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98,94%</w:t>
                </w:r>
              </w:p>
            </w:tc>
            <w:tc>
              <w:tcPr>
                <w:tcW w:w="280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109,84%</w:t>
                </w: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E51FF" w:rsidRPr="00AE51FF" w:rsidRDefault="00AE51FF" w:rsidP="00AE51FF">
                <w:pPr>
                  <w:jc w:val="center"/>
                  <w:rPr>
                    <w:rFonts w:eastAsia="Times New Roman" w:cs="Times New Roman"/>
                    <w:sz w:val="20"/>
                    <w:szCs w:val="20"/>
                    <w:lang w:eastAsia="es-ES"/>
                  </w:rPr>
                </w:pPr>
                <w:r w:rsidRPr="00AE51FF">
                  <w:rPr>
                    <w:rFonts w:eastAsia="Times New Roman" w:cs="Times New Roman"/>
                    <w:sz w:val="20"/>
                    <w:szCs w:val="20"/>
                    <w:lang w:eastAsia="es-ES"/>
                  </w:rPr>
                  <w:t>(número de varones dividido entre número de mujeres</w:t>
                </w:r>
              </w:p>
            </w:tc>
            <w:tc>
              <w:tcPr>
                <w:tcW w:w="242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E51FF" w:rsidRPr="00AE51FF" w:rsidTr="00AE51F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E51FF" w:rsidRPr="00AE51FF" w:rsidRDefault="00AE51FF" w:rsidP="00AE51FF">
                <w:pPr>
                  <w:jc w:val="center"/>
                  <w:rPr>
                    <w:rFonts w:eastAsia="Times New Roman" w:cs="Times New Roman"/>
                    <w:sz w:val="20"/>
                    <w:szCs w:val="20"/>
                    <w:lang w:eastAsia="es-ES"/>
                  </w:rPr>
                </w:pPr>
              </w:p>
            </w:tc>
            <w:tc>
              <w:tcPr>
                <w:tcW w:w="242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E51FF" w:rsidRPr="00AE51FF" w:rsidRDefault="00AE51FF" w:rsidP="00AE51FF">
                <w:pPr>
                  <w:jc w:val="center"/>
                  <w:rPr>
                    <w:rFonts w:eastAsia="Times New Roman" w:cs="Times New Roman"/>
                    <w:sz w:val="20"/>
                    <w:szCs w:val="20"/>
                    <w:lang w:eastAsia="es-ES"/>
                  </w:rPr>
                </w:pPr>
                <w:r w:rsidRPr="00AE51FF">
                  <w:rPr>
                    <w:rFonts w:eastAsia="Times New Roman" w:cs="Times New Roman"/>
                    <w:sz w:val="20"/>
                    <w:szCs w:val="20"/>
                    <w:lang w:eastAsia="es-ES"/>
                  </w:rPr>
                  <w:t>Índice de maternidad</w:t>
                </w:r>
              </w:p>
            </w:tc>
            <w:tc>
              <w:tcPr>
                <w:tcW w:w="2420" w:type="dxa"/>
                <w:vMerge w:val="restart"/>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Aragón</w:t>
                </w:r>
              </w:p>
            </w:tc>
            <w:tc>
              <w:tcPr>
                <w:tcW w:w="2800" w:type="dxa"/>
                <w:vMerge w:val="restart"/>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GAL</w:t>
                </w:r>
              </w:p>
            </w:tc>
          </w:tr>
          <w:tr w:rsidR="00AE51FF" w:rsidRPr="00AE51FF" w:rsidTr="00AE51F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E51FF" w:rsidRPr="00AE51FF" w:rsidRDefault="00AE51FF" w:rsidP="00AE51FF">
                <w:pPr>
                  <w:rPr>
                    <w:rFonts w:eastAsia="Times New Roman" w:cs="Times New Roman"/>
                    <w:sz w:val="20"/>
                    <w:szCs w:val="20"/>
                    <w:lang w:eastAsia="es-ES"/>
                  </w:rPr>
                </w:pPr>
              </w:p>
            </w:tc>
            <w:tc>
              <w:tcPr>
                <w:tcW w:w="2420" w:type="dxa"/>
                <w:vMerge/>
                <w:hideMark/>
              </w:tcPr>
              <w:p w:rsidR="00AE51FF" w:rsidRPr="00AE51FF" w:rsidRDefault="00AE51FF" w:rsidP="00AE51FF">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AE51FF" w:rsidRPr="00AE51FF" w:rsidRDefault="00AE51FF" w:rsidP="00AE51FF">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E51FF" w:rsidRPr="00AE51FF" w:rsidRDefault="00AE51FF" w:rsidP="00AE51FF">
                <w:pPr>
                  <w:rPr>
                    <w:rFonts w:eastAsia="Times New Roman" w:cs="Times New Roman"/>
                    <w:sz w:val="20"/>
                    <w:szCs w:val="20"/>
                    <w:lang w:eastAsia="es-ES"/>
                  </w:rPr>
                </w:pPr>
              </w:p>
            </w:tc>
            <w:tc>
              <w:tcPr>
                <w:tcW w:w="242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20,92%</w:t>
                </w:r>
              </w:p>
            </w:tc>
            <w:tc>
              <w:tcPr>
                <w:tcW w:w="280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22,36%</w:t>
                </w:r>
              </w:p>
            </w:tc>
          </w:tr>
          <w:tr w:rsidR="00AE51FF" w:rsidRPr="00AE51FF" w:rsidTr="00AE51FF">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E51FF" w:rsidRPr="00AE51FF" w:rsidRDefault="00AE51FF" w:rsidP="00AE51FF">
                <w:pPr>
                  <w:jc w:val="center"/>
                  <w:rPr>
                    <w:rFonts w:eastAsia="Times New Roman" w:cs="Times New Roman"/>
                    <w:sz w:val="20"/>
                    <w:szCs w:val="20"/>
                    <w:lang w:eastAsia="es-ES"/>
                  </w:rPr>
                </w:pPr>
                <w:r w:rsidRPr="00AE51FF">
                  <w:rPr>
                    <w:rFonts w:eastAsia="Times New Roman" w:cs="Times New Roman"/>
                    <w:sz w:val="20"/>
                    <w:szCs w:val="20"/>
                    <w:lang w:eastAsia="es-ES"/>
                  </w:rPr>
                  <w:t>(número de niños de 0 a4 años entre mujeres de 15 a 49)</w:t>
                </w:r>
              </w:p>
            </w:tc>
            <w:tc>
              <w:tcPr>
                <w:tcW w:w="242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E51FF" w:rsidRPr="00AE51FF" w:rsidRDefault="00AE51FF" w:rsidP="00AE51FF">
                <w:pPr>
                  <w:jc w:val="center"/>
                  <w:rPr>
                    <w:rFonts w:eastAsia="Times New Roman" w:cs="Times New Roman"/>
                    <w:sz w:val="20"/>
                    <w:szCs w:val="20"/>
                    <w:lang w:eastAsia="es-ES"/>
                  </w:rPr>
                </w:pPr>
              </w:p>
            </w:tc>
            <w:tc>
              <w:tcPr>
                <w:tcW w:w="242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E51FF" w:rsidRPr="00AE51FF" w:rsidTr="00AE51F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E51FF" w:rsidRPr="00AE51FF" w:rsidRDefault="00AE51FF" w:rsidP="00AE51FF">
                <w:pPr>
                  <w:jc w:val="center"/>
                  <w:rPr>
                    <w:rFonts w:eastAsia="Times New Roman" w:cs="Times New Roman"/>
                    <w:sz w:val="20"/>
                    <w:szCs w:val="20"/>
                    <w:lang w:eastAsia="es-ES"/>
                  </w:rPr>
                </w:pPr>
                <w:r w:rsidRPr="00AE51FF">
                  <w:rPr>
                    <w:rFonts w:eastAsia="Times New Roman" w:cs="Times New Roman"/>
                    <w:sz w:val="20"/>
                    <w:szCs w:val="20"/>
                    <w:lang w:eastAsia="es-ES"/>
                  </w:rPr>
                  <w:t>Índice de potencialidad</w:t>
                </w:r>
              </w:p>
            </w:tc>
            <w:tc>
              <w:tcPr>
                <w:tcW w:w="2420" w:type="dxa"/>
                <w:vMerge w:val="restart"/>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Aragón</w:t>
                </w:r>
              </w:p>
            </w:tc>
            <w:tc>
              <w:tcPr>
                <w:tcW w:w="2800" w:type="dxa"/>
                <w:vMerge w:val="restart"/>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GAL</w:t>
                </w: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E51FF" w:rsidRPr="00AE51FF" w:rsidRDefault="00AE51FF" w:rsidP="00AE51FF">
                <w:pPr>
                  <w:rPr>
                    <w:rFonts w:eastAsia="Times New Roman" w:cs="Times New Roman"/>
                    <w:sz w:val="20"/>
                    <w:szCs w:val="20"/>
                    <w:lang w:eastAsia="es-ES"/>
                  </w:rPr>
                </w:pPr>
              </w:p>
            </w:tc>
            <w:tc>
              <w:tcPr>
                <w:tcW w:w="2420" w:type="dxa"/>
                <w:vMerge/>
                <w:hideMark/>
              </w:tcPr>
              <w:p w:rsidR="00AE51FF" w:rsidRPr="00AE51FF" w:rsidRDefault="00AE51FF" w:rsidP="00AE51F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AE51FF" w:rsidRPr="00AE51FF" w:rsidRDefault="00AE51FF" w:rsidP="00AE51F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AE51FF" w:rsidRPr="00AE51FF" w:rsidTr="00AE51F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E51FF" w:rsidRPr="00AE51FF" w:rsidRDefault="00AE51FF" w:rsidP="00AE51FF">
                <w:pPr>
                  <w:rPr>
                    <w:rFonts w:eastAsia="Times New Roman" w:cs="Times New Roman"/>
                    <w:sz w:val="20"/>
                    <w:szCs w:val="20"/>
                    <w:lang w:eastAsia="es-ES"/>
                  </w:rPr>
                </w:pPr>
              </w:p>
            </w:tc>
            <w:tc>
              <w:tcPr>
                <w:tcW w:w="242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77,01%</w:t>
                </w:r>
              </w:p>
            </w:tc>
            <w:tc>
              <w:tcPr>
                <w:tcW w:w="280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89,20%</w:t>
                </w: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E51FF" w:rsidRPr="00AE51FF" w:rsidRDefault="00AE51FF" w:rsidP="00AE51FF">
                <w:pPr>
                  <w:jc w:val="center"/>
                  <w:rPr>
                    <w:rFonts w:eastAsia="Times New Roman" w:cs="Times New Roman"/>
                    <w:sz w:val="20"/>
                    <w:szCs w:val="20"/>
                    <w:lang w:eastAsia="es-ES"/>
                  </w:rPr>
                </w:pPr>
                <w:r w:rsidRPr="00AE51FF">
                  <w:rPr>
                    <w:rFonts w:eastAsia="Times New Roman" w:cs="Times New Roman"/>
                    <w:sz w:val="20"/>
                    <w:szCs w:val="20"/>
                    <w:lang w:eastAsia="es-ES"/>
                  </w:rPr>
                  <w:t>(número mujeres de 20 a 34 entre mujeres de 35 a 49)</w:t>
                </w:r>
              </w:p>
            </w:tc>
            <w:tc>
              <w:tcPr>
                <w:tcW w:w="242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E51FF" w:rsidRPr="00AE51FF" w:rsidTr="00AE51F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E51FF" w:rsidRPr="00AE51FF" w:rsidRDefault="00AE51FF" w:rsidP="00AE51FF">
                <w:pPr>
                  <w:jc w:val="center"/>
                  <w:rPr>
                    <w:rFonts w:eastAsia="Times New Roman" w:cs="Times New Roman"/>
                    <w:sz w:val="20"/>
                    <w:szCs w:val="20"/>
                    <w:lang w:eastAsia="es-ES"/>
                  </w:rPr>
                </w:pPr>
              </w:p>
            </w:tc>
            <w:tc>
              <w:tcPr>
                <w:tcW w:w="242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AE51FF" w:rsidRPr="00AE51FF" w:rsidRDefault="00AE51FF" w:rsidP="00AE51FF">
                <w:pPr>
                  <w:jc w:val="center"/>
                  <w:rPr>
                    <w:rFonts w:eastAsia="Times New Roman" w:cs="Times New Roman"/>
                    <w:sz w:val="20"/>
                    <w:szCs w:val="20"/>
                    <w:lang w:eastAsia="es-ES"/>
                  </w:rPr>
                </w:pPr>
              </w:p>
            </w:tc>
            <w:tc>
              <w:tcPr>
                <w:tcW w:w="242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AE51FF" w:rsidRPr="00AE51FF" w:rsidTr="00AE51FF">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AE51FF" w:rsidRPr="00AE51FF" w:rsidRDefault="00AE51FF" w:rsidP="00AE51FF">
                <w:pPr>
                  <w:jc w:val="center"/>
                  <w:rPr>
                    <w:rFonts w:eastAsia="Times New Roman" w:cs="Times New Roman"/>
                    <w:sz w:val="20"/>
                    <w:szCs w:val="20"/>
                    <w:lang w:eastAsia="es-ES"/>
                  </w:rPr>
                </w:pPr>
                <w:r w:rsidRPr="00AE51FF">
                  <w:rPr>
                    <w:rFonts w:eastAsia="Times New Roman" w:cs="Times New Roman"/>
                    <w:sz w:val="20"/>
                    <w:szCs w:val="20"/>
                    <w:lang w:eastAsia="es-ES"/>
                  </w:rPr>
                  <w:t xml:space="preserve">Coeficiente de </w:t>
                </w:r>
                <w:proofErr w:type="spellStart"/>
                <w:r w:rsidRPr="00AE51FF">
                  <w:rPr>
                    <w:rFonts w:eastAsia="Times New Roman" w:cs="Times New Roman"/>
                    <w:sz w:val="20"/>
                    <w:szCs w:val="20"/>
                    <w:lang w:eastAsia="es-ES"/>
                  </w:rPr>
                  <w:t>sustitucion</w:t>
                </w:r>
                <w:proofErr w:type="spellEnd"/>
              </w:p>
            </w:tc>
            <w:tc>
              <w:tcPr>
                <w:tcW w:w="2420" w:type="dxa"/>
                <w:vMerge w:val="restart"/>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Aragón</w:t>
                </w:r>
              </w:p>
            </w:tc>
            <w:tc>
              <w:tcPr>
                <w:tcW w:w="2800" w:type="dxa"/>
                <w:vMerge w:val="restart"/>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GAL</w:t>
                </w: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E51FF" w:rsidRPr="00AE51FF" w:rsidRDefault="00AE51FF" w:rsidP="00AE51FF">
                <w:pPr>
                  <w:rPr>
                    <w:rFonts w:eastAsia="Times New Roman" w:cs="Times New Roman"/>
                    <w:sz w:val="20"/>
                    <w:szCs w:val="20"/>
                    <w:lang w:eastAsia="es-ES"/>
                  </w:rPr>
                </w:pPr>
              </w:p>
            </w:tc>
            <w:tc>
              <w:tcPr>
                <w:tcW w:w="2420" w:type="dxa"/>
                <w:vMerge/>
                <w:hideMark/>
              </w:tcPr>
              <w:p w:rsidR="00AE51FF" w:rsidRPr="00AE51FF" w:rsidRDefault="00AE51FF" w:rsidP="00AE51F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AE51FF" w:rsidRPr="00AE51FF" w:rsidRDefault="00AE51FF" w:rsidP="00AE51F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AE51FF" w:rsidRPr="00AE51FF" w:rsidTr="00AE51F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AE51FF" w:rsidRPr="00AE51FF" w:rsidRDefault="00AE51FF" w:rsidP="00AE51FF">
                <w:pPr>
                  <w:rPr>
                    <w:rFonts w:eastAsia="Times New Roman" w:cs="Times New Roman"/>
                    <w:sz w:val="20"/>
                    <w:szCs w:val="20"/>
                    <w:lang w:eastAsia="es-ES"/>
                  </w:rPr>
                </w:pPr>
              </w:p>
            </w:tc>
            <w:tc>
              <w:tcPr>
                <w:tcW w:w="242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80,06%</w:t>
                </w:r>
              </w:p>
            </w:tc>
            <w:tc>
              <w:tcPr>
                <w:tcW w:w="2800" w:type="dxa"/>
                <w:noWrap/>
                <w:hideMark/>
              </w:tcPr>
              <w:p w:rsidR="00AE51FF" w:rsidRPr="00AE51FF" w:rsidRDefault="00AE51FF" w:rsidP="00AE51F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AE51FF">
                  <w:rPr>
                    <w:rFonts w:eastAsia="Times New Roman" w:cs="Times New Roman"/>
                    <w:b/>
                    <w:bCs/>
                    <w:sz w:val="20"/>
                    <w:szCs w:val="20"/>
                    <w:lang w:eastAsia="es-ES"/>
                  </w:rPr>
                  <w:t>86,53%</w:t>
                </w:r>
              </w:p>
            </w:tc>
          </w:tr>
          <w:tr w:rsidR="00AE51FF" w:rsidRPr="00AE51FF" w:rsidTr="00AE51FF">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AE51FF" w:rsidRPr="00AE51FF" w:rsidRDefault="00AE51FF" w:rsidP="00AE51FF">
                <w:pPr>
                  <w:jc w:val="center"/>
                  <w:rPr>
                    <w:rFonts w:eastAsia="Times New Roman" w:cs="Times New Roman"/>
                    <w:sz w:val="20"/>
                    <w:szCs w:val="20"/>
                    <w:lang w:eastAsia="es-ES"/>
                  </w:rPr>
                </w:pPr>
                <w:r w:rsidRPr="00AE51FF">
                  <w:rPr>
                    <w:rFonts w:eastAsia="Times New Roman" w:cs="Times New Roman"/>
                    <w:sz w:val="20"/>
                    <w:szCs w:val="20"/>
                    <w:lang w:eastAsia="es-ES"/>
                  </w:rPr>
                  <w:t>(número de personas de 10 a 14 años entre personas de 60 a 64 años)</w:t>
                </w:r>
              </w:p>
            </w:tc>
            <w:tc>
              <w:tcPr>
                <w:tcW w:w="242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AE51FF" w:rsidRPr="00AE51FF" w:rsidRDefault="00AE51FF" w:rsidP="00AE51F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A33934" w:rsidRPr="00974B32" w:rsidRDefault="00C2569A" w:rsidP="009A0E95">
          <w:pPr>
            <w:ind w:left="142"/>
            <w:jc w:val="both"/>
            <w:rPr>
              <w:b/>
              <w:sz w:val="24"/>
              <w:szCs w:val="24"/>
            </w:rPr>
          </w:pPr>
          <w:r>
            <w:rPr>
              <w:noProof/>
              <w:lang w:eastAsia="es-ES"/>
            </w:rPr>
            <w:drawing>
              <wp:inline distT="0" distB="0" distL="0" distR="0" wp14:anchorId="23C6A1ED" wp14:editId="163EBEC4">
                <wp:extent cx="5400040" cy="2668859"/>
                <wp:effectExtent l="0" t="0" r="10160" b="1778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C2569A" w:rsidP="00FA17CC">
          <w:pPr>
            <w:pStyle w:val="Prrafodelista"/>
            <w:ind w:hanging="578"/>
            <w:jc w:val="both"/>
            <w:rPr>
              <w:b/>
              <w:sz w:val="24"/>
              <w:szCs w:val="24"/>
            </w:rPr>
          </w:pPr>
          <w:r>
            <w:rPr>
              <w:noProof/>
              <w:lang w:eastAsia="es-ES"/>
            </w:rPr>
            <w:drawing>
              <wp:inline distT="0" distB="0" distL="0" distR="0" wp14:anchorId="13A75DF7" wp14:editId="16CC883A">
                <wp:extent cx="5400040" cy="2551546"/>
                <wp:effectExtent l="0" t="0" r="10160" b="2032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C2569A" w:rsidRPr="00C2569A" w:rsidTr="00C2569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 </w:t>
                </w:r>
              </w:p>
            </w:tc>
            <w:tc>
              <w:tcPr>
                <w:tcW w:w="2960" w:type="dxa"/>
                <w:gridSpan w:val="2"/>
                <w:noWrap/>
                <w:hideMark/>
              </w:tcPr>
              <w:p w:rsidR="00C2569A" w:rsidRPr="00C2569A" w:rsidRDefault="00C2569A" w:rsidP="00C256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2012</w:t>
                </w:r>
              </w:p>
            </w:tc>
            <w:tc>
              <w:tcPr>
                <w:tcW w:w="2640" w:type="dxa"/>
                <w:gridSpan w:val="2"/>
                <w:noWrap/>
                <w:hideMark/>
              </w:tcPr>
              <w:p w:rsidR="00C2569A" w:rsidRPr="00C2569A" w:rsidRDefault="00C2569A" w:rsidP="00C2569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2011</w:t>
                </w:r>
              </w:p>
            </w:tc>
          </w:tr>
          <w:tr w:rsidR="00C2569A" w:rsidRPr="00C2569A" w:rsidTr="00C256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Arial" w:eastAsia="Times New Roman" w:hAnsi="Arial" w:cs="Arial"/>
                    <w:sz w:val="16"/>
                    <w:szCs w:val="16"/>
                    <w:lang w:eastAsia="es-ES"/>
                  </w:rPr>
                </w:pPr>
                <w:r w:rsidRPr="00C2569A">
                  <w:rPr>
                    <w:rFonts w:ascii="Arial" w:eastAsia="Times New Roman" w:hAnsi="Arial" w:cs="Arial"/>
                    <w:sz w:val="16"/>
                    <w:szCs w:val="16"/>
                    <w:lang w:eastAsia="es-ES"/>
                  </w:rPr>
                  <w:t>Nacidos vivos por cada mil habitantes.</w:t>
                </w:r>
              </w:p>
            </w:tc>
            <w:tc>
              <w:tcPr>
                <w:tcW w:w="151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 xml:space="preserve">Aragón </w:t>
                </w:r>
              </w:p>
            </w:tc>
            <w:tc>
              <w:tcPr>
                <w:tcW w:w="144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GAL</w:t>
                </w:r>
              </w:p>
            </w:tc>
            <w:tc>
              <w:tcPr>
                <w:tcW w:w="135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 xml:space="preserve">Aragón </w:t>
                </w:r>
              </w:p>
            </w:tc>
            <w:tc>
              <w:tcPr>
                <w:tcW w:w="128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GAL</w:t>
                </w:r>
              </w:p>
            </w:tc>
          </w:tr>
          <w:tr w:rsidR="00C2569A" w:rsidRPr="00C2569A" w:rsidTr="00C2569A">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Arial" w:eastAsia="Times New Roman" w:hAnsi="Arial" w:cs="Arial"/>
                    <w:sz w:val="16"/>
                    <w:szCs w:val="16"/>
                    <w:lang w:eastAsia="es-ES"/>
                  </w:rPr>
                </w:pPr>
                <w:r w:rsidRPr="00C2569A">
                  <w:rPr>
                    <w:rFonts w:ascii="Arial" w:eastAsia="Times New Roman" w:hAnsi="Arial" w:cs="Arial"/>
                    <w:sz w:val="16"/>
                    <w:szCs w:val="16"/>
                    <w:lang w:eastAsia="es-ES"/>
                  </w:rPr>
                  <w:t>Tasa Bruta de Natalidad (‰).</w:t>
                </w:r>
              </w:p>
            </w:tc>
            <w:tc>
              <w:tcPr>
                <w:tcW w:w="151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8,878</w:t>
                </w:r>
              </w:p>
            </w:tc>
            <w:tc>
              <w:tcPr>
                <w:tcW w:w="144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8,871</w:t>
                </w:r>
              </w:p>
            </w:tc>
            <w:tc>
              <w:tcPr>
                <w:tcW w:w="135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9,366</w:t>
                </w:r>
              </w:p>
            </w:tc>
            <w:tc>
              <w:tcPr>
                <w:tcW w:w="128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9,809</w:t>
                </w:r>
              </w:p>
            </w:tc>
          </w:tr>
          <w:tr w:rsidR="00C2569A" w:rsidRPr="00C2569A" w:rsidTr="00C256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Calibri" w:eastAsia="Times New Roman" w:hAnsi="Calibri" w:cs="Times New Roman"/>
                    <w:color w:val="000000"/>
                    <w:lang w:eastAsia="es-ES"/>
                  </w:rPr>
                </w:pPr>
              </w:p>
            </w:tc>
            <w:tc>
              <w:tcPr>
                <w:tcW w:w="151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C2569A" w:rsidRPr="00C2569A" w:rsidTr="00C2569A">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Arial" w:eastAsia="Times New Roman" w:hAnsi="Arial" w:cs="Arial"/>
                    <w:sz w:val="16"/>
                    <w:szCs w:val="16"/>
                    <w:lang w:eastAsia="es-ES"/>
                  </w:rPr>
                </w:pPr>
                <w:r w:rsidRPr="00C2569A">
                  <w:rPr>
                    <w:rFonts w:ascii="Arial" w:eastAsia="Times New Roman" w:hAnsi="Arial" w:cs="Arial"/>
                    <w:sz w:val="16"/>
                    <w:szCs w:val="16"/>
                    <w:lang w:eastAsia="es-ES"/>
                  </w:rPr>
                  <w:t>Defunciones por cada mil habitantes.</w:t>
                </w:r>
              </w:p>
            </w:tc>
            <w:tc>
              <w:tcPr>
                <w:tcW w:w="151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 xml:space="preserve">Aragón </w:t>
                </w:r>
              </w:p>
            </w:tc>
            <w:tc>
              <w:tcPr>
                <w:tcW w:w="144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GAL</w:t>
                </w:r>
              </w:p>
            </w:tc>
            <w:tc>
              <w:tcPr>
                <w:tcW w:w="135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 xml:space="preserve">Aragón </w:t>
                </w:r>
              </w:p>
            </w:tc>
            <w:tc>
              <w:tcPr>
                <w:tcW w:w="128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GAL</w:t>
                </w:r>
              </w:p>
            </w:tc>
          </w:tr>
          <w:tr w:rsidR="00C2569A" w:rsidRPr="00C2569A" w:rsidTr="00C256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Arial" w:eastAsia="Times New Roman" w:hAnsi="Arial" w:cs="Arial"/>
                    <w:sz w:val="16"/>
                    <w:szCs w:val="16"/>
                    <w:lang w:eastAsia="es-ES"/>
                  </w:rPr>
                </w:pPr>
                <w:r w:rsidRPr="00C2569A">
                  <w:rPr>
                    <w:rFonts w:ascii="Arial" w:eastAsia="Times New Roman" w:hAnsi="Arial" w:cs="Arial"/>
                    <w:sz w:val="16"/>
                    <w:szCs w:val="16"/>
                    <w:lang w:eastAsia="es-ES"/>
                  </w:rPr>
                  <w:t>Tasa Bruta de Mortalidad (‰).</w:t>
                </w:r>
              </w:p>
            </w:tc>
            <w:tc>
              <w:tcPr>
                <w:tcW w:w="151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10,170</w:t>
                </w:r>
              </w:p>
            </w:tc>
            <w:tc>
              <w:tcPr>
                <w:tcW w:w="144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11,149</w:t>
                </w:r>
              </w:p>
            </w:tc>
            <w:tc>
              <w:tcPr>
                <w:tcW w:w="135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10,067</w:t>
                </w:r>
              </w:p>
            </w:tc>
            <w:tc>
              <w:tcPr>
                <w:tcW w:w="128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11,227</w:t>
                </w:r>
              </w:p>
            </w:tc>
          </w:tr>
          <w:tr w:rsidR="00C2569A" w:rsidRPr="00C2569A" w:rsidTr="00C2569A">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Calibri" w:eastAsia="Times New Roman" w:hAnsi="Calibri" w:cs="Times New Roman"/>
                    <w:color w:val="000000"/>
                    <w:lang w:eastAsia="es-ES"/>
                  </w:rPr>
                </w:pPr>
              </w:p>
            </w:tc>
            <w:tc>
              <w:tcPr>
                <w:tcW w:w="151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C2569A" w:rsidRPr="00C2569A" w:rsidTr="00C2569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C2569A" w:rsidRPr="00C2569A" w:rsidRDefault="00C2569A" w:rsidP="00C2569A">
                <w:pPr>
                  <w:rPr>
                    <w:rFonts w:ascii="Arial" w:eastAsia="Times New Roman" w:hAnsi="Arial" w:cs="Arial"/>
                    <w:sz w:val="16"/>
                    <w:szCs w:val="16"/>
                    <w:lang w:eastAsia="es-ES"/>
                  </w:rPr>
                </w:pPr>
                <w:r w:rsidRPr="00C2569A">
                  <w:rPr>
                    <w:rFonts w:ascii="Arial" w:eastAsia="Times New Roman" w:hAnsi="Arial" w:cs="Arial"/>
                    <w:sz w:val="16"/>
                    <w:szCs w:val="16"/>
                    <w:lang w:eastAsia="es-ES"/>
                  </w:rPr>
                  <w:t>Saldo vegetativo (nacimientos menos defunciones) por cada mil habitantes.</w:t>
                </w:r>
              </w:p>
            </w:tc>
            <w:tc>
              <w:tcPr>
                <w:tcW w:w="151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 xml:space="preserve">Aragón </w:t>
                </w:r>
              </w:p>
            </w:tc>
            <w:tc>
              <w:tcPr>
                <w:tcW w:w="144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GAL</w:t>
                </w:r>
              </w:p>
            </w:tc>
            <w:tc>
              <w:tcPr>
                <w:tcW w:w="135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 xml:space="preserve">Aragón </w:t>
                </w:r>
              </w:p>
            </w:tc>
            <w:tc>
              <w:tcPr>
                <w:tcW w:w="128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GAL</w:t>
                </w:r>
              </w:p>
            </w:tc>
          </w:tr>
          <w:tr w:rsidR="00C2569A" w:rsidRPr="00C2569A" w:rsidTr="00C2569A">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Arial" w:eastAsia="Times New Roman" w:hAnsi="Arial" w:cs="Arial"/>
                    <w:sz w:val="16"/>
                    <w:szCs w:val="16"/>
                    <w:lang w:eastAsia="es-ES"/>
                  </w:rPr>
                </w:pPr>
                <w:r w:rsidRPr="00C2569A">
                  <w:rPr>
                    <w:rFonts w:ascii="Arial" w:eastAsia="Times New Roman" w:hAnsi="Arial" w:cs="Arial"/>
                    <w:sz w:val="16"/>
                    <w:szCs w:val="16"/>
                    <w:lang w:eastAsia="es-ES"/>
                  </w:rPr>
                  <w:t>Tasa Bruta de Crecimiento Vegetativo (‰)</w:t>
                </w:r>
              </w:p>
            </w:tc>
            <w:tc>
              <w:tcPr>
                <w:tcW w:w="151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-1,292</w:t>
                </w:r>
              </w:p>
            </w:tc>
            <w:tc>
              <w:tcPr>
                <w:tcW w:w="144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-2,278</w:t>
                </w:r>
              </w:p>
            </w:tc>
            <w:tc>
              <w:tcPr>
                <w:tcW w:w="135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-0,700</w:t>
                </w:r>
              </w:p>
            </w:tc>
            <w:tc>
              <w:tcPr>
                <w:tcW w:w="128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-1,418</w:t>
                </w:r>
              </w:p>
            </w:tc>
          </w:tr>
          <w:tr w:rsidR="00C2569A" w:rsidRPr="00C2569A" w:rsidTr="00C256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Calibri" w:eastAsia="Times New Roman" w:hAnsi="Calibri" w:cs="Times New Roman"/>
                    <w:color w:val="000000"/>
                    <w:lang w:eastAsia="es-ES"/>
                  </w:rPr>
                </w:pPr>
              </w:p>
            </w:tc>
            <w:tc>
              <w:tcPr>
                <w:tcW w:w="1517" w:type="dxa"/>
                <w:noWrap/>
                <w:hideMark/>
              </w:tcPr>
              <w:p w:rsidR="00C2569A" w:rsidRPr="00C2569A" w:rsidRDefault="00C2569A" w:rsidP="00C256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C2569A" w:rsidRPr="00C2569A" w:rsidRDefault="00C2569A" w:rsidP="00C256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C2569A" w:rsidRPr="00C2569A" w:rsidRDefault="00C2569A" w:rsidP="00C256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C2569A" w:rsidRPr="00C2569A" w:rsidRDefault="00C2569A" w:rsidP="00C2569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C2569A" w:rsidRPr="00C2569A" w:rsidTr="00C2569A">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Arial" w:eastAsia="Times New Roman" w:hAnsi="Arial" w:cs="Arial"/>
                    <w:sz w:val="16"/>
                    <w:szCs w:val="16"/>
                    <w:lang w:eastAsia="es-ES"/>
                  </w:rPr>
                </w:pPr>
                <w:r w:rsidRPr="00C2569A">
                  <w:rPr>
                    <w:rFonts w:ascii="Arial" w:eastAsia="Times New Roman" w:hAnsi="Arial" w:cs="Arial"/>
                    <w:sz w:val="16"/>
                    <w:szCs w:val="16"/>
                    <w:lang w:eastAsia="es-ES"/>
                  </w:rPr>
                  <w:t>Matrimonios por cada mil habitantes.</w:t>
                </w:r>
              </w:p>
            </w:tc>
            <w:tc>
              <w:tcPr>
                <w:tcW w:w="151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 xml:space="preserve">Aragón </w:t>
                </w:r>
              </w:p>
            </w:tc>
            <w:tc>
              <w:tcPr>
                <w:tcW w:w="144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GAL</w:t>
                </w:r>
              </w:p>
            </w:tc>
            <w:tc>
              <w:tcPr>
                <w:tcW w:w="1353"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 xml:space="preserve">Aragón </w:t>
                </w:r>
              </w:p>
            </w:tc>
            <w:tc>
              <w:tcPr>
                <w:tcW w:w="1287" w:type="dxa"/>
                <w:noWrap/>
                <w:hideMark/>
              </w:tcPr>
              <w:p w:rsidR="00C2569A" w:rsidRPr="00C2569A" w:rsidRDefault="00C2569A" w:rsidP="00C2569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GAL</w:t>
                </w:r>
              </w:p>
            </w:tc>
          </w:tr>
          <w:tr w:rsidR="00C2569A" w:rsidRPr="00C2569A" w:rsidTr="00C256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C2569A" w:rsidRPr="00C2569A" w:rsidRDefault="00C2569A" w:rsidP="00C2569A">
                <w:pPr>
                  <w:rPr>
                    <w:rFonts w:ascii="Arial" w:eastAsia="Times New Roman" w:hAnsi="Arial" w:cs="Arial"/>
                    <w:sz w:val="16"/>
                    <w:szCs w:val="16"/>
                    <w:lang w:eastAsia="es-ES"/>
                  </w:rPr>
                </w:pPr>
                <w:r w:rsidRPr="00C2569A">
                  <w:rPr>
                    <w:rFonts w:ascii="Arial" w:eastAsia="Times New Roman" w:hAnsi="Arial" w:cs="Arial"/>
                    <w:sz w:val="16"/>
                    <w:szCs w:val="16"/>
                    <w:lang w:eastAsia="es-ES"/>
                  </w:rPr>
                  <w:t>Tasa Bruta de Nupcialidad (‰).</w:t>
                </w:r>
              </w:p>
            </w:tc>
            <w:tc>
              <w:tcPr>
                <w:tcW w:w="151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3,492</w:t>
                </w:r>
              </w:p>
            </w:tc>
            <w:tc>
              <w:tcPr>
                <w:tcW w:w="144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2,613</w:t>
                </w:r>
              </w:p>
            </w:tc>
            <w:tc>
              <w:tcPr>
                <w:tcW w:w="1353"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3,205</w:t>
                </w:r>
              </w:p>
            </w:tc>
            <w:tc>
              <w:tcPr>
                <w:tcW w:w="1287" w:type="dxa"/>
                <w:noWrap/>
                <w:hideMark/>
              </w:tcPr>
              <w:p w:rsidR="00C2569A" w:rsidRPr="00C2569A" w:rsidRDefault="00C2569A" w:rsidP="00C256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2569A">
                  <w:rPr>
                    <w:rFonts w:ascii="Calibri" w:eastAsia="Times New Roman" w:hAnsi="Calibri" w:cs="Times New Roman"/>
                    <w:color w:val="000000"/>
                    <w:lang w:eastAsia="es-ES"/>
                  </w:rPr>
                  <w:t>2,694</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C2569A" w:rsidP="00190C45">
          <w:pPr>
            <w:pStyle w:val="Prrafodelista"/>
            <w:jc w:val="center"/>
            <w:rPr>
              <w:b/>
              <w:sz w:val="24"/>
              <w:szCs w:val="24"/>
            </w:rPr>
          </w:pPr>
          <w:r>
            <w:rPr>
              <w:noProof/>
              <w:lang w:eastAsia="es-ES"/>
            </w:rPr>
            <w:drawing>
              <wp:inline distT="0" distB="0" distL="0" distR="0" wp14:anchorId="3F92D517" wp14:editId="7F0599C9">
                <wp:extent cx="4785360" cy="2143760"/>
                <wp:effectExtent l="0" t="0" r="15240" b="2794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DA6CCE">
          <w:pPr>
            <w:pStyle w:val="Prrafodelista"/>
            <w:jc w:val="both"/>
            <w:rPr>
              <w:b/>
              <w:sz w:val="24"/>
              <w:szCs w:val="24"/>
            </w:rPr>
          </w:pPr>
        </w:p>
        <w:p w:rsidR="00E87CD9" w:rsidRDefault="00C2569A" w:rsidP="00106908">
          <w:pPr>
            <w:pStyle w:val="Prrafodelista"/>
            <w:ind w:left="142" w:right="-568"/>
            <w:jc w:val="both"/>
            <w:rPr>
              <w:b/>
              <w:sz w:val="24"/>
              <w:szCs w:val="24"/>
            </w:rPr>
          </w:pPr>
          <w:r>
            <w:rPr>
              <w:b/>
              <w:noProof/>
              <w:sz w:val="24"/>
              <w:szCs w:val="24"/>
              <w:lang w:eastAsia="es-ES"/>
            </w:rPr>
            <w:drawing>
              <wp:inline distT="0" distB="0" distL="0" distR="0" wp14:anchorId="14E9AA56" wp14:editId="63385186">
                <wp:extent cx="2824480" cy="15544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4480" cy="1554480"/>
                        </a:xfrm>
                        <a:prstGeom prst="rect">
                          <a:avLst/>
                        </a:prstGeom>
                        <a:noFill/>
                      </pic:spPr>
                    </pic:pic>
                  </a:graphicData>
                </a:graphic>
              </wp:inline>
            </w:drawing>
          </w:r>
          <w:r>
            <w:rPr>
              <w:b/>
              <w:noProof/>
              <w:sz w:val="24"/>
              <w:szCs w:val="24"/>
              <w:lang w:eastAsia="es-ES"/>
            </w:rPr>
            <w:drawing>
              <wp:inline distT="0" distB="0" distL="0" distR="0" wp14:anchorId="029C68EF" wp14:editId="457257D7">
                <wp:extent cx="2824480" cy="15643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7408" cy="1565977"/>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9A0E95" w:rsidRDefault="009A0E95" w:rsidP="00287406">
          <w:pPr>
            <w:jc w:val="both"/>
            <w:rPr>
              <w:b/>
              <w:sz w:val="24"/>
              <w:szCs w:val="24"/>
            </w:rPr>
          </w:pPr>
        </w:p>
        <w:p w:rsidR="00BB47F5" w:rsidRDefault="00BB47F5" w:rsidP="00DA6CCE">
          <w:pPr>
            <w:pStyle w:val="Prrafodelista"/>
            <w:jc w:val="both"/>
            <w:rPr>
              <w:b/>
              <w:sz w:val="24"/>
              <w:szCs w:val="24"/>
            </w:rPr>
          </w:pPr>
        </w:p>
        <w:p w:rsidR="009A0E95" w:rsidRDefault="009A0E95" w:rsidP="00DA6CCE">
          <w:pPr>
            <w:pStyle w:val="Prrafodelista"/>
            <w:jc w:val="both"/>
            <w:rPr>
              <w:b/>
              <w:sz w:val="24"/>
              <w:szCs w:val="24"/>
            </w:rPr>
          </w:pPr>
        </w:p>
        <w:p w:rsidR="009A0E95" w:rsidRDefault="009A0E95"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4EA0A3BB" wp14:editId="03B61880">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A032D9" w:rsidP="00DA6CCE">
          <w:pPr>
            <w:pStyle w:val="Prrafodelista"/>
            <w:tabs>
              <w:tab w:val="left" w:pos="3456"/>
            </w:tabs>
            <w:ind w:left="284"/>
            <w:jc w:val="both"/>
            <w:rPr>
              <w:b/>
            </w:rPr>
          </w:pPr>
          <w:r>
            <w:rPr>
              <w:noProof/>
              <w:lang w:eastAsia="es-ES"/>
            </w:rPr>
            <w:drawing>
              <wp:inline distT="0" distB="0" distL="0" distR="0" wp14:anchorId="7BD698A0" wp14:editId="72AA1FD1">
                <wp:extent cx="5405120" cy="3291840"/>
                <wp:effectExtent l="0" t="0" r="24130" b="2286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055955" w:rsidRDefault="00A032D9" w:rsidP="006E0D50">
          <w:pPr>
            <w:pStyle w:val="Prrafodelista"/>
            <w:tabs>
              <w:tab w:val="left" w:pos="3456"/>
            </w:tabs>
            <w:ind w:left="284"/>
            <w:jc w:val="both"/>
            <w:rPr>
              <w:b/>
            </w:rPr>
          </w:pPr>
          <w:r>
            <w:rPr>
              <w:noProof/>
              <w:lang w:eastAsia="es-ES"/>
            </w:rPr>
            <w:drawing>
              <wp:inline distT="0" distB="0" distL="0" distR="0" wp14:anchorId="03939223" wp14:editId="4F59E9E8">
                <wp:extent cx="5486400" cy="2997200"/>
                <wp:effectExtent l="0" t="0" r="19050" b="127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430F" w:rsidRDefault="00C6430F" w:rsidP="006E0D50">
          <w:pPr>
            <w:pStyle w:val="Prrafodelista"/>
            <w:tabs>
              <w:tab w:val="left" w:pos="3456"/>
            </w:tabs>
            <w:ind w:left="284"/>
            <w:jc w:val="both"/>
            <w:rPr>
              <w:b/>
            </w:rPr>
          </w:pPr>
        </w:p>
        <w:p w:rsidR="006E0D50" w:rsidRPr="006E0D50" w:rsidRDefault="006E0D50" w:rsidP="006E0D50">
          <w:pPr>
            <w:pStyle w:val="Prrafodelista"/>
            <w:tabs>
              <w:tab w:val="left" w:pos="3456"/>
            </w:tabs>
            <w:ind w:left="284"/>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lastRenderedPageBreak/>
            <w:t xml:space="preserve">Estructura de altas en la seguridad social por sexo y grupos de edad (Septiembre 2014) </w:t>
          </w:r>
        </w:p>
        <w:p w:rsidR="00A84D47" w:rsidRDefault="00A032D9" w:rsidP="00DA6CCE">
          <w:pPr>
            <w:pStyle w:val="Prrafodelista"/>
            <w:tabs>
              <w:tab w:val="left" w:pos="3456"/>
            </w:tabs>
            <w:ind w:left="0"/>
            <w:jc w:val="both"/>
            <w:rPr>
              <w:b/>
            </w:rPr>
          </w:pPr>
          <w:r>
            <w:rPr>
              <w:noProof/>
              <w:lang w:eastAsia="es-ES"/>
            </w:rPr>
            <w:drawing>
              <wp:inline distT="0" distB="0" distL="0" distR="0" wp14:anchorId="476F5507" wp14:editId="151DCF07">
                <wp:extent cx="5923280" cy="3017520"/>
                <wp:effectExtent l="0" t="0" r="20320" b="1143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A032D9" w:rsidP="00DA6CCE">
          <w:pPr>
            <w:pStyle w:val="Prrafodelista"/>
            <w:tabs>
              <w:tab w:val="left" w:pos="3456"/>
            </w:tabs>
            <w:ind w:left="0"/>
            <w:jc w:val="both"/>
            <w:rPr>
              <w:b/>
            </w:rPr>
          </w:pPr>
          <w:r>
            <w:rPr>
              <w:noProof/>
              <w:lang w:eastAsia="es-ES"/>
            </w:rPr>
            <w:drawing>
              <wp:inline distT="0" distB="0" distL="0" distR="0" wp14:anchorId="339BFF15" wp14:editId="0295A3AC">
                <wp:extent cx="5923280" cy="3088640"/>
                <wp:effectExtent l="0" t="0" r="20320" b="1651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032D9" w:rsidRDefault="00A032D9" w:rsidP="00DA6CCE">
          <w:pPr>
            <w:pStyle w:val="Prrafodelista"/>
            <w:tabs>
              <w:tab w:val="left" w:pos="3456"/>
            </w:tabs>
            <w:ind w:left="0"/>
            <w:jc w:val="both"/>
            <w:rPr>
              <w:b/>
            </w:rPr>
          </w:pPr>
        </w:p>
        <w:p w:rsidR="009A0E95" w:rsidRDefault="009A0E95" w:rsidP="00DA6CCE">
          <w:pPr>
            <w:pStyle w:val="Prrafodelista"/>
            <w:tabs>
              <w:tab w:val="left" w:pos="3456"/>
            </w:tabs>
            <w:ind w:left="0"/>
            <w:jc w:val="both"/>
            <w:rPr>
              <w:b/>
            </w:rPr>
          </w:pPr>
        </w:p>
        <w:p w:rsidR="009A0E95" w:rsidRDefault="009A0E95" w:rsidP="00DA6CCE">
          <w:pPr>
            <w:pStyle w:val="Prrafodelista"/>
            <w:tabs>
              <w:tab w:val="left" w:pos="3456"/>
            </w:tabs>
            <w:ind w:left="0"/>
            <w:jc w:val="both"/>
            <w:rPr>
              <w:b/>
            </w:rPr>
          </w:pPr>
        </w:p>
        <w:p w:rsidR="009A0E95" w:rsidRDefault="009A0E95" w:rsidP="00DA6CCE">
          <w:pPr>
            <w:pStyle w:val="Prrafodelista"/>
            <w:tabs>
              <w:tab w:val="left" w:pos="3456"/>
            </w:tabs>
            <w:ind w:left="0"/>
            <w:jc w:val="both"/>
            <w:rPr>
              <w:b/>
            </w:rPr>
          </w:pPr>
        </w:p>
        <w:p w:rsidR="009A0E95" w:rsidRDefault="009A0E95" w:rsidP="00DA6CCE">
          <w:pPr>
            <w:pStyle w:val="Prrafodelista"/>
            <w:tabs>
              <w:tab w:val="left" w:pos="3456"/>
            </w:tabs>
            <w:ind w:left="0"/>
            <w:jc w:val="both"/>
            <w:rPr>
              <w:b/>
            </w:rPr>
          </w:pPr>
        </w:p>
        <w:p w:rsidR="009A0E95" w:rsidRDefault="009A0E95" w:rsidP="00DA6CCE">
          <w:pPr>
            <w:pStyle w:val="Prrafodelista"/>
            <w:tabs>
              <w:tab w:val="left" w:pos="3456"/>
            </w:tabs>
            <w:ind w:left="0"/>
            <w:jc w:val="both"/>
            <w:rPr>
              <w:b/>
            </w:rPr>
          </w:pPr>
        </w:p>
        <w:p w:rsidR="009A0E95" w:rsidRDefault="009A0E95" w:rsidP="00DA6CCE">
          <w:pPr>
            <w:pStyle w:val="Prrafodelista"/>
            <w:tabs>
              <w:tab w:val="left" w:pos="3456"/>
            </w:tabs>
            <w:ind w:left="0"/>
            <w:jc w:val="both"/>
            <w:rPr>
              <w:b/>
            </w:rPr>
          </w:pPr>
        </w:p>
        <w:p w:rsidR="009A0E95" w:rsidRDefault="009A0E9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lastRenderedPageBreak/>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A032D9" w:rsidP="00DA6CCE">
          <w:pPr>
            <w:pStyle w:val="Prrafodelista"/>
            <w:tabs>
              <w:tab w:val="left" w:pos="3456"/>
            </w:tabs>
            <w:ind w:left="0"/>
            <w:jc w:val="both"/>
            <w:rPr>
              <w:b/>
            </w:rPr>
          </w:pPr>
          <w:r>
            <w:rPr>
              <w:noProof/>
              <w:lang w:eastAsia="es-ES"/>
            </w:rPr>
            <w:drawing>
              <wp:inline distT="0" distB="0" distL="0" distR="0" wp14:anchorId="41B4A532" wp14:editId="4A325358">
                <wp:extent cx="6035040" cy="3677920"/>
                <wp:effectExtent l="0" t="0" r="22860" b="1778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0E95" w:rsidRDefault="009A0E9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Default="00A032D9" w:rsidP="00695C58">
          <w:pPr>
            <w:pStyle w:val="Prrafodelista"/>
            <w:tabs>
              <w:tab w:val="left" w:pos="3456"/>
            </w:tabs>
            <w:ind w:left="0"/>
            <w:jc w:val="both"/>
            <w:rPr>
              <w:b/>
            </w:rPr>
          </w:pPr>
          <w:r>
            <w:rPr>
              <w:noProof/>
              <w:lang w:eastAsia="es-ES"/>
            </w:rPr>
            <w:drawing>
              <wp:inline distT="0" distB="0" distL="0" distR="0" wp14:anchorId="07B44232" wp14:editId="295C28DF">
                <wp:extent cx="5984240" cy="3352800"/>
                <wp:effectExtent l="0" t="0" r="16510" b="190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3104" w:rsidRDefault="00433104" w:rsidP="00695C58">
          <w:pPr>
            <w:pStyle w:val="Prrafodelista"/>
            <w:tabs>
              <w:tab w:val="left" w:pos="3456"/>
            </w:tabs>
            <w:ind w:left="0"/>
            <w:jc w:val="both"/>
            <w:rPr>
              <w:b/>
            </w:rPr>
          </w:pPr>
        </w:p>
        <w:p w:rsidR="00D17F3A" w:rsidRDefault="00D17F3A" w:rsidP="00695C58">
          <w:pPr>
            <w:pStyle w:val="Prrafodelista"/>
            <w:tabs>
              <w:tab w:val="left" w:pos="3456"/>
            </w:tabs>
            <w:ind w:left="0"/>
            <w:jc w:val="both"/>
            <w:rPr>
              <w:b/>
            </w:rPr>
          </w:pPr>
        </w:p>
        <w:p w:rsidR="009A0E95" w:rsidRPr="00565BB1" w:rsidRDefault="009A0E95" w:rsidP="00695C58">
          <w:pPr>
            <w:pStyle w:val="Prrafodelista"/>
            <w:tabs>
              <w:tab w:val="left" w:pos="3456"/>
            </w:tabs>
            <w:ind w:left="0"/>
            <w:jc w:val="both"/>
            <w:rPr>
              <w:b/>
            </w:rPr>
          </w:pPr>
        </w:p>
        <w:p w:rsidR="00D16764" w:rsidRPr="00AF7330" w:rsidRDefault="00565BB1" w:rsidP="00DA6CCE">
          <w:pPr>
            <w:pStyle w:val="Prrafodelista"/>
            <w:numPr>
              <w:ilvl w:val="0"/>
              <w:numId w:val="1"/>
            </w:numPr>
            <w:tabs>
              <w:tab w:val="left" w:pos="3456"/>
            </w:tabs>
            <w:jc w:val="both"/>
            <w:rPr>
              <w:b/>
            </w:rPr>
          </w:pPr>
          <w:r w:rsidRPr="009257EF">
            <w:rPr>
              <w:b/>
            </w:rPr>
            <w:lastRenderedPageBreak/>
            <w:t xml:space="preserve"> </w:t>
          </w:r>
          <w:r w:rsidR="00746BD5" w:rsidRPr="009257EF">
            <w:rPr>
              <w:b/>
            </w:rPr>
            <w:t>Promedio de las fuentes tributarias que ex</w:t>
          </w:r>
          <w:r w:rsidR="004C76DF">
            <w:rPr>
              <w:b/>
            </w:rPr>
            <w:t xml:space="preserve">isten de cada tipo en el grupo </w:t>
          </w:r>
          <w:r w:rsidR="00B82F1B">
            <w:rPr>
              <w:b/>
            </w:rPr>
            <w:t xml:space="preserve">FEDIVALCA </w:t>
          </w:r>
          <w:r w:rsidR="00AF7330" w:rsidRPr="00AF7330">
            <w:rPr>
              <w:b/>
            </w:rPr>
            <w:t>(2010).</w:t>
          </w:r>
        </w:p>
        <w:tbl>
          <w:tblPr>
            <w:tblStyle w:val="Sombreadoclaro-nfasis4"/>
            <w:tblW w:w="9323" w:type="dxa"/>
            <w:tblLook w:val="04A0" w:firstRow="1" w:lastRow="0" w:firstColumn="1" w:lastColumn="0" w:noHBand="0" w:noVBand="1"/>
          </w:tblPr>
          <w:tblGrid>
            <w:gridCol w:w="1471"/>
            <w:gridCol w:w="2116"/>
            <w:gridCol w:w="2314"/>
            <w:gridCol w:w="2397"/>
            <w:gridCol w:w="1025"/>
          </w:tblGrid>
          <w:tr w:rsidR="00B82F1B" w:rsidRPr="00B82F1B" w:rsidTr="00B82F1B">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471" w:type="dxa"/>
                <w:vMerge w:val="restart"/>
                <w:noWrap/>
                <w:hideMark/>
              </w:tcPr>
              <w:p w:rsidR="00B82F1B" w:rsidRPr="00B82F1B" w:rsidRDefault="00B82F1B" w:rsidP="00B82F1B">
                <w:pPr>
                  <w:jc w:val="center"/>
                  <w:rPr>
                    <w:rFonts w:ascii="Calibri" w:eastAsia="Times New Roman" w:hAnsi="Calibri" w:cs="Times New Roman"/>
                    <w:color w:val="000000"/>
                    <w:lang w:eastAsia="es-ES"/>
                  </w:rPr>
                </w:pPr>
                <w:r w:rsidRPr="00B82F1B">
                  <w:rPr>
                    <w:rFonts w:ascii="Calibri" w:eastAsia="Times New Roman" w:hAnsi="Calibri" w:cs="Times New Roman"/>
                    <w:color w:val="000000"/>
                    <w:lang w:eastAsia="es-ES"/>
                  </w:rPr>
                  <w:t>FEDIVALCA</w:t>
                </w:r>
              </w:p>
            </w:tc>
            <w:tc>
              <w:tcPr>
                <w:tcW w:w="2116" w:type="dxa"/>
                <w:noWrap/>
                <w:hideMark/>
              </w:tcPr>
              <w:p w:rsidR="00B82F1B" w:rsidRPr="00B82F1B" w:rsidRDefault="00B82F1B" w:rsidP="00B82F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82F1B">
                  <w:rPr>
                    <w:rFonts w:ascii="Calibri" w:eastAsia="Times New Roman" w:hAnsi="Calibri" w:cs="Times New Roman"/>
                    <w:color w:val="000000"/>
                    <w:lang w:eastAsia="es-ES"/>
                  </w:rPr>
                  <w:t>Total percepciones salarios</w:t>
                </w:r>
              </w:p>
            </w:tc>
            <w:tc>
              <w:tcPr>
                <w:tcW w:w="2314" w:type="dxa"/>
                <w:noWrap/>
                <w:hideMark/>
              </w:tcPr>
              <w:p w:rsidR="00B82F1B" w:rsidRPr="00B82F1B" w:rsidRDefault="00B82F1B" w:rsidP="00B82F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82F1B">
                  <w:rPr>
                    <w:rFonts w:ascii="Calibri" w:eastAsia="Times New Roman" w:hAnsi="Calibri" w:cs="Times New Roman"/>
                    <w:color w:val="000000"/>
                    <w:lang w:eastAsia="es-ES"/>
                  </w:rPr>
                  <w:t>Total Percepciones pensiones</w:t>
                </w:r>
              </w:p>
            </w:tc>
            <w:tc>
              <w:tcPr>
                <w:tcW w:w="2397" w:type="dxa"/>
                <w:noWrap/>
                <w:hideMark/>
              </w:tcPr>
              <w:p w:rsidR="00B82F1B" w:rsidRPr="00B82F1B" w:rsidRDefault="00B82F1B" w:rsidP="00B82F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82F1B">
                  <w:rPr>
                    <w:rFonts w:ascii="Calibri" w:eastAsia="Times New Roman" w:hAnsi="Calibri" w:cs="Times New Roman"/>
                    <w:color w:val="000000"/>
                    <w:lang w:eastAsia="es-ES"/>
                  </w:rPr>
                  <w:t>Total Percepciones desempleo</w:t>
                </w:r>
              </w:p>
            </w:tc>
            <w:tc>
              <w:tcPr>
                <w:tcW w:w="1025" w:type="dxa"/>
                <w:noWrap/>
                <w:hideMark/>
              </w:tcPr>
              <w:p w:rsidR="00B82F1B" w:rsidRPr="00B82F1B" w:rsidRDefault="00B82F1B" w:rsidP="00B82F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b w:val="0"/>
                    <w:bCs w:val="0"/>
                    <w:color w:val="000000"/>
                    <w:lang w:eastAsia="es-ES"/>
                  </w:rPr>
                  <w:t>Padró</w:t>
                </w:r>
                <w:r w:rsidRPr="00B82F1B">
                  <w:rPr>
                    <w:rFonts w:ascii="Calibri" w:eastAsia="Times New Roman" w:hAnsi="Calibri" w:cs="Times New Roman"/>
                    <w:color w:val="000000"/>
                    <w:lang w:eastAsia="es-ES"/>
                  </w:rPr>
                  <w:t>n total</w:t>
                </w:r>
              </w:p>
            </w:tc>
          </w:tr>
          <w:tr w:rsidR="00B82F1B" w:rsidRPr="00B82F1B" w:rsidTr="00B82F1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471" w:type="dxa"/>
                <w:vMerge/>
                <w:noWrap/>
                <w:hideMark/>
              </w:tcPr>
              <w:p w:rsidR="00B82F1B" w:rsidRPr="00B82F1B" w:rsidRDefault="00B82F1B" w:rsidP="00B82F1B">
                <w:pPr>
                  <w:jc w:val="center"/>
                  <w:rPr>
                    <w:rFonts w:ascii="Calibri" w:eastAsia="Times New Roman" w:hAnsi="Calibri" w:cs="Times New Roman"/>
                    <w:color w:val="000000"/>
                    <w:lang w:eastAsia="es-ES"/>
                  </w:rPr>
                </w:pPr>
              </w:p>
            </w:tc>
            <w:tc>
              <w:tcPr>
                <w:tcW w:w="2116" w:type="dxa"/>
                <w:noWrap/>
                <w:hideMark/>
              </w:tcPr>
              <w:p w:rsidR="00B82F1B" w:rsidRPr="00B82F1B" w:rsidRDefault="00B82F1B" w:rsidP="00B82F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82F1B">
                  <w:rPr>
                    <w:rFonts w:ascii="Calibri" w:eastAsia="Times New Roman" w:hAnsi="Calibri" w:cs="Times New Roman"/>
                    <w:b/>
                    <w:bCs/>
                    <w:color w:val="000000"/>
                    <w:lang w:eastAsia="es-ES"/>
                  </w:rPr>
                  <w:t>23972</w:t>
                </w:r>
              </w:p>
            </w:tc>
            <w:tc>
              <w:tcPr>
                <w:tcW w:w="2314" w:type="dxa"/>
                <w:noWrap/>
                <w:hideMark/>
              </w:tcPr>
              <w:p w:rsidR="00B82F1B" w:rsidRPr="00B82F1B" w:rsidRDefault="00B82F1B" w:rsidP="00B82F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82F1B">
                  <w:rPr>
                    <w:rFonts w:ascii="Calibri" w:eastAsia="Times New Roman" w:hAnsi="Calibri" w:cs="Times New Roman"/>
                    <w:b/>
                    <w:bCs/>
                    <w:color w:val="000000"/>
                    <w:lang w:eastAsia="es-ES"/>
                  </w:rPr>
                  <w:t>9372</w:t>
                </w:r>
              </w:p>
            </w:tc>
            <w:tc>
              <w:tcPr>
                <w:tcW w:w="2397" w:type="dxa"/>
                <w:noWrap/>
                <w:hideMark/>
              </w:tcPr>
              <w:p w:rsidR="00B82F1B" w:rsidRPr="00B82F1B" w:rsidRDefault="00B82F1B" w:rsidP="00B82F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82F1B">
                  <w:rPr>
                    <w:rFonts w:ascii="Calibri" w:eastAsia="Times New Roman" w:hAnsi="Calibri" w:cs="Times New Roman"/>
                    <w:b/>
                    <w:bCs/>
                    <w:color w:val="000000"/>
                    <w:lang w:eastAsia="es-ES"/>
                  </w:rPr>
                  <w:t>5467</w:t>
                </w:r>
              </w:p>
            </w:tc>
            <w:tc>
              <w:tcPr>
                <w:tcW w:w="1025" w:type="dxa"/>
                <w:noWrap/>
                <w:hideMark/>
              </w:tcPr>
              <w:p w:rsidR="00B82F1B" w:rsidRPr="00B82F1B" w:rsidRDefault="00B82F1B" w:rsidP="00B82F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82F1B">
                  <w:rPr>
                    <w:rFonts w:ascii="Calibri" w:eastAsia="Times New Roman" w:hAnsi="Calibri" w:cs="Times New Roman"/>
                    <w:b/>
                    <w:bCs/>
                    <w:color w:val="000000"/>
                    <w:lang w:eastAsia="es-ES"/>
                  </w:rPr>
                  <w:t>41229</w:t>
                </w:r>
              </w:p>
            </w:tc>
          </w:tr>
        </w:tbl>
        <w:p w:rsidR="00746BD5" w:rsidRDefault="00746BD5" w:rsidP="00B82F1B">
          <w:pPr>
            <w:pStyle w:val="Prrafodelista"/>
            <w:tabs>
              <w:tab w:val="left" w:pos="3456"/>
            </w:tabs>
            <w:jc w:val="center"/>
            <w:rPr>
              <w:b/>
            </w:rPr>
          </w:pPr>
        </w:p>
        <w:p w:rsidR="00746BD5" w:rsidRDefault="00746BD5" w:rsidP="00BE3139">
          <w:pPr>
            <w:pStyle w:val="Prrafodelista"/>
            <w:tabs>
              <w:tab w:val="left" w:pos="3456"/>
            </w:tabs>
            <w:jc w:val="center"/>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8E3136" w:rsidRPr="006E2A0B" w:rsidRDefault="008E3136" w:rsidP="006E2A0B">
          <w:pPr>
            <w:tabs>
              <w:tab w:val="left" w:pos="3456"/>
            </w:tabs>
            <w:jc w:val="both"/>
            <w:rPr>
              <w:b/>
            </w:rPr>
          </w:pPr>
          <w:bookmarkStart w:id="0" w:name="_GoBack"/>
          <w:bookmarkEnd w:id="0"/>
        </w:p>
        <w:p w:rsidR="00D139A2" w:rsidRDefault="003D4E91" w:rsidP="008E3136">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 xml:space="preserve">Acción Local </w:t>
          </w:r>
          <w:r w:rsidR="00AC72AA">
            <w:t>FEDIVALCA</w:t>
          </w:r>
          <w:r w:rsidR="00F00D75">
            <w:t>.</w:t>
          </w:r>
        </w:p>
        <w:p w:rsidR="003D4E91" w:rsidRDefault="00D139A2" w:rsidP="009A0E95">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Pr="00F00D75" w:rsidRDefault="003D4E91" w:rsidP="00F00D75">
          <w:pPr>
            <w:pStyle w:val="Prrafodelista"/>
            <w:tabs>
              <w:tab w:val="left" w:pos="3456"/>
            </w:tabs>
            <w:ind w:left="284"/>
            <w:jc w:val="both"/>
          </w:pPr>
          <w:r>
            <w:t xml:space="preserve">            Como vemos se trata de un grupo </w:t>
          </w:r>
          <w:r w:rsidR="00924E6A">
            <w:t>formado por la</w:t>
          </w:r>
          <w:r w:rsidR="00286C91">
            <w:t xml:space="preserve"> </w:t>
          </w:r>
          <w:r w:rsidR="000A6EFE">
            <w:t xml:space="preserve">agrupación de comarcas </w:t>
          </w:r>
          <w:r w:rsidR="000F1DA7">
            <w:t>de</w:t>
          </w:r>
          <w:r w:rsidR="00071E4C">
            <w:t xml:space="preserve"> </w:t>
          </w:r>
          <w:proofErr w:type="spellStart"/>
          <w:r w:rsidR="00071E4C">
            <w:t>Valdejalón</w:t>
          </w:r>
          <w:proofErr w:type="spellEnd"/>
          <w:r w:rsidR="00071E4C">
            <w:t>, Campo de Cariñena y el D.C de Zaragoza</w:t>
          </w:r>
          <w:r w:rsidR="000F1DA7">
            <w:t xml:space="preserve"> </w:t>
          </w:r>
          <w:r w:rsidR="00924E6A">
            <w:t>y engloba un total de</w:t>
          </w:r>
          <w:r w:rsidR="00286C91">
            <w:t xml:space="preserve"> </w:t>
          </w:r>
          <w:r w:rsidR="00071E4C">
            <w:t>34</w:t>
          </w:r>
          <w:r w:rsidR="00286C91">
            <w:t xml:space="preserve"> </w:t>
          </w:r>
          <w:r w:rsidR="00924E6A">
            <w:t>municipios.</w:t>
          </w:r>
        </w:p>
        <w:p w:rsidR="000F1DA7" w:rsidRDefault="009A0E95" w:rsidP="00DF1E37">
          <w:pPr>
            <w:jc w:val="cent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2pt;height:512pt">
                <v:imagedata r:id="rId36" o:title="LOCALIZACIÓN"/>
              </v:shape>
            </w:pict>
          </w:r>
        </w:p>
        <w:p w:rsidR="008D4C33" w:rsidRDefault="00924E6A" w:rsidP="008E3136">
          <w:pPr>
            <w:ind w:firstLine="708"/>
            <w:jc w:val="both"/>
          </w:pPr>
          <w:r>
            <w:lastRenderedPageBreak/>
            <w:t>El grupo de acción local</w:t>
          </w:r>
          <w:r w:rsidR="00737319">
            <w:t xml:space="preserve"> </w:t>
          </w:r>
          <w:r w:rsidR="008E3136">
            <w:t xml:space="preserve">FEDIVALCA está formado por la agrupación de las comarcas de </w:t>
          </w:r>
          <w:proofErr w:type="spellStart"/>
          <w:r w:rsidR="008E3136">
            <w:t>Valdejalón</w:t>
          </w:r>
          <w:proofErr w:type="spellEnd"/>
          <w:r w:rsidR="008E3136">
            <w:t>, Campo de Cariñena y el D.C de Zaragoza</w:t>
          </w:r>
          <w:r w:rsidR="008E3136">
            <w:t xml:space="preserve">. La Comarca de </w:t>
          </w:r>
          <w:proofErr w:type="spellStart"/>
          <w:r w:rsidR="008E3136">
            <w:t>Valdejalón</w:t>
          </w:r>
          <w:proofErr w:type="spellEnd"/>
          <w:r w:rsidR="008E3136">
            <w:t xml:space="preserve"> se dispone en torno al </w:t>
          </w:r>
          <w:r w:rsidR="008E3136">
            <w:t xml:space="preserve">valle medio-bajo del río Jalón, cuyo curso cruza el territorio en dirección SW-NE, desde las sierras del Moncayo y </w:t>
          </w:r>
          <w:proofErr w:type="spellStart"/>
          <w:r w:rsidR="008E3136">
            <w:t>Algairén</w:t>
          </w:r>
          <w:proofErr w:type="spellEnd"/>
          <w:r w:rsidR="008E3136">
            <w:t xml:space="preserve"> hasta los llanos de Plasencia.</w:t>
          </w:r>
          <w:r w:rsidR="008E3136">
            <w:t xml:space="preserve"> El Campo de Cariñena en general presenta áreas de escasa altitud aunque e</w:t>
          </w:r>
          <w:r w:rsidR="008E3136">
            <w:t>n la</w:t>
          </w:r>
          <w:r w:rsidR="008E3136">
            <w:t xml:space="preserve"> parte occidental de la comarca se localizan</w:t>
          </w:r>
          <w:r w:rsidR="008E3136">
            <w:t xml:space="preserve"> </w:t>
          </w:r>
          <w:r w:rsidR="008E3136">
            <w:t>una serie de</w:t>
          </w:r>
          <w:r w:rsidR="008E3136">
            <w:t xml:space="preserve"> cumbres</w:t>
          </w:r>
          <w:r w:rsidR="008E3136">
            <w:t xml:space="preserve"> que se elevan levemente </w:t>
          </w:r>
          <w:r w:rsidR="008E3136">
            <w:t xml:space="preserve">los </w:t>
          </w:r>
          <w:r w:rsidR="008E3136">
            <w:t>glacis o piedemontes terciarios y en el sector norte y este se disponen una serie de relieves de tipo</w:t>
          </w:r>
          <w:r w:rsidR="008E3136">
            <w:t xml:space="preserve"> tabular</w:t>
          </w:r>
          <w:r w:rsidR="008E3136">
            <w:t xml:space="preserve">. </w:t>
          </w:r>
          <w:r w:rsidR="009130FD">
            <w:t>En el caso de la delimitación comarcal vemos cómo, esta se localiza en</w:t>
          </w:r>
          <w:r w:rsidR="009130FD">
            <w:t xml:space="preserve"> la depresión del Ebro, por lo que su relieve es principalmente llano, </w:t>
          </w:r>
          <w:r w:rsidR="009130FD">
            <w:t>y está atravesado</w:t>
          </w:r>
          <w:r w:rsidR="009130FD">
            <w:t xml:space="preserve"> por el río Ebro de NO a SE.</w:t>
          </w:r>
        </w:p>
        <w:p w:rsidR="0073084C" w:rsidRDefault="009130FD" w:rsidP="006F0720">
          <w:pPr>
            <w:ind w:firstLine="284"/>
            <w:jc w:val="center"/>
          </w:pPr>
          <w:r>
            <w:pict>
              <v:shape id="_x0000_i1026" type="#_x0000_t75" style="width:345.6pt;height:489.6pt">
                <v:imagedata r:id="rId37" o:title="Medio físico"/>
              </v:shape>
            </w:pict>
          </w:r>
        </w:p>
        <w:p w:rsidR="00943066" w:rsidRDefault="00943066" w:rsidP="00DA6CCE">
          <w:pPr>
            <w:jc w:val="both"/>
            <w:rPr>
              <w:b/>
            </w:rPr>
          </w:pPr>
        </w:p>
        <w:p w:rsidR="00592215" w:rsidRPr="003A5493" w:rsidRDefault="003D4E91" w:rsidP="00DF1E37">
          <w:pPr>
            <w:ind w:firstLine="284"/>
            <w:jc w:val="both"/>
            <w:rPr>
              <w:rFonts w:ascii="Calibri" w:eastAsia="Times New Roman" w:hAnsi="Calibri" w:cs="Times New Roman"/>
              <w:color w:val="000000"/>
              <w:lang w:eastAsia="es-ES"/>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DF1E37">
            <w:t>FEDIVALCA</w:t>
          </w:r>
          <w:r w:rsidR="00891EB9">
            <w:t xml:space="preserve"> </w:t>
          </w:r>
          <w:r w:rsidR="000A6D47">
            <w:t xml:space="preserve"> </w:t>
          </w:r>
          <w:r w:rsidR="00BE5550">
            <w:t>vemos como la mayoría de municipios presentan tasas de masculinida</w:t>
          </w:r>
          <w:r w:rsidR="00E81C69">
            <w:t xml:space="preserve">d superiores a las de feminidad. </w:t>
          </w:r>
          <w:r w:rsidR="00090BB0">
            <w:t xml:space="preserve">A excepción de </w:t>
          </w:r>
          <w:r w:rsidR="00511130">
            <w:t>Bardallur, Morata de Jalón y Mozota.</w:t>
          </w:r>
        </w:p>
        <w:p w:rsidR="009A7493" w:rsidRDefault="009A0E95" w:rsidP="00DA6CCE">
          <w:pPr>
            <w:jc w:val="both"/>
            <w:rPr>
              <w:b/>
            </w:rPr>
          </w:pPr>
          <w:r>
            <w:rPr>
              <w:b/>
            </w:rPr>
            <w:pict>
              <v:shape id="_x0000_i1027" type="#_x0000_t75" style="width:424.8pt;height:600.8pt">
                <v:imagedata r:id="rId38" o:title="DENSI_MASCUFEM"/>
              </v:shape>
            </w:pict>
          </w:r>
        </w:p>
        <w:p w:rsidR="00592215" w:rsidRPr="00592215" w:rsidRDefault="00592215" w:rsidP="0073084C">
          <w:pPr>
            <w:ind w:firstLine="708"/>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9A0E95" w:rsidP="00BE533F">
          <w:pPr>
            <w:tabs>
              <w:tab w:val="left" w:pos="1985"/>
            </w:tabs>
            <w:jc w:val="center"/>
            <w:rPr>
              <w:b/>
            </w:rPr>
          </w:pPr>
          <w:r>
            <w:rPr>
              <w:b/>
              <w:noProof/>
              <w:lang w:eastAsia="es-ES"/>
            </w:rPr>
            <w:pict>
              <v:shape id="_x0000_i1028" type="#_x0000_t75" style="width:383.2pt;height:541.6pt">
                <v:imagedata r:id="rId39" o:title="ENVEJAR_FEDIVALCA"/>
              </v:shape>
            </w:pict>
          </w:r>
        </w:p>
        <w:p w:rsidR="00B4331E" w:rsidRDefault="00592215" w:rsidP="00DA6CCE">
          <w:pPr>
            <w:jc w:val="both"/>
          </w:pPr>
          <w:r>
            <w:rPr>
              <w:b/>
            </w:rPr>
            <w:tab/>
          </w:r>
          <w:r w:rsidR="00511130">
            <w:t>En</w:t>
          </w:r>
          <w:r w:rsidR="00DB2988" w:rsidRPr="00DB2988">
            <w:t xml:space="preserve"> verde vemos aquellos municipios que presentan cifras medias de envejecimiento por debajo de la media de Aragón siendo en este caso</w:t>
          </w:r>
          <w:r w:rsidR="00511130">
            <w:t xml:space="preserve"> La Almunia de Doña Godina (402%) y La Muela (70,9%)</w:t>
          </w:r>
          <w:r w:rsidR="00DB2988" w:rsidRPr="00DB2988">
            <w:t>.</w:t>
          </w:r>
          <w:r w:rsidR="00DB2988">
            <w:rPr>
              <w:b/>
            </w:rPr>
            <w:t xml:space="preserve"> </w:t>
          </w:r>
          <w:r w:rsidR="00F00D75">
            <w:t>En</w:t>
          </w:r>
          <w:r w:rsidR="00AB3ED5">
            <w:t xml:space="preserve"> amarillo</w:t>
          </w:r>
          <w:r w:rsidR="00085C12">
            <w:t xml:space="preserve"> </w:t>
          </w:r>
          <w:r>
            <w:t xml:space="preserve"> </w:t>
          </w:r>
          <w:r w:rsidR="00F00D75">
            <w:t>se muestran</w:t>
          </w:r>
          <w:r w:rsidR="009A7493">
            <w:t xml:space="preserve"> aquellos municipios con valores semejantes </w:t>
          </w:r>
          <w:r>
            <w:t>a la media de Aragón</w:t>
          </w:r>
          <w:r w:rsidR="00855FEF">
            <w:t>,</w:t>
          </w:r>
          <w:r w:rsidR="00511130">
            <w:t xml:space="preserve"> Épila (89,7%), Ricla (95,7%) y Cariñena (102,7%)</w:t>
          </w:r>
          <w:r w:rsidR="00855FEF">
            <w:t xml:space="preserve"> </w:t>
          </w:r>
          <w:r w:rsidR="00DB2988">
            <w:t>son los</w:t>
          </w:r>
          <w:r w:rsidR="00855FEF">
            <w:t xml:space="preserve"> municipio</w:t>
          </w:r>
          <w:r w:rsidR="00DB2988">
            <w:t>s</w:t>
          </w:r>
          <w:r w:rsidR="00855FEF">
            <w:t xml:space="preserve"> que </w:t>
          </w:r>
          <w:r w:rsidR="00855FEF">
            <w:lastRenderedPageBreak/>
            <w:t>cumple este requisito</w:t>
          </w:r>
          <w:r w:rsidR="0073084C">
            <w:t>.</w:t>
          </w:r>
          <w:r w:rsidR="00D1226C">
            <w:t xml:space="preserve"> </w:t>
          </w:r>
          <w:r w:rsidR="0073084C">
            <w:t>Y</w:t>
          </w:r>
          <w:r w:rsidR="00A347CE">
            <w:t xml:space="preserve">, </w:t>
          </w:r>
          <w:r>
            <w:t xml:space="preserve">los valores que se representan en diferentes tonalidades de 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0B686B">
            <w:t xml:space="preserve">. </w:t>
          </w:r>
          <w:r w:rsidR="00830526">
            <w:t xml:space="preserve">Vistabella (1600%), Mozota (1475%), Aguilón (1166,7%), Aladrén (733,3%), Mezalocha (692,3%) y Santa Cruz de Grío (633,3%) </w:t>
          </w:r>
          <w:r w:rsidR="00F916A3">
            <w:t>son los</w:t>
          </w:r>
          <w:r w:rsidR="00B4331E">
            <w:t xml:space="preserve"> municipio</w:t>
          </w:r>
          <w:r w:rsidR="00F916A3">
            <w:t>s</w:t>
          </w:r>
          <w:r w:rsidR="00B4331E">
            <w:t xml:space="preserve"> que mayor envejecimiento del grupo presenta</w:t>
          </w:r>
          <w:r w:rsidR="00F916A3">
            <w:t>n</w:t>
          </w:r>
          <w:r w:rsidR="00B4331E">
            <w:t xml:space="preserve"> situándose </w:t>
          </w:r>
          <w:r w:rsidR="000725D3">
            <w:t xml:space="preserve">en una </w:t>
          </w:r>
          <w:r w:rsidR="00B4331E">
            <w:t xml:space="preserve">posición </w:t>
          </w:r>
          <w:r w:rsidR="000725D3">
            <w:t xml:space="preserve"> alarmante en cuanto a la media de envejecimien</w:t>
          </w:r>
          <w:r w:rsidR="0012353F">
            <w:t>to de Aragón.</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9130FD" w:rsidP="00452FBF">
          <w:pPr>
            <w:jc w:val="center"/>
          </w:pPr>
          <w:r>
            <w:pict>
              <v:shape id="_x0000_i1029" type="#_x0000_t75" style="width:308pt;height:434.4pt">
                <v:imagedata r:id="rId40" o:title="tasaenvej_paro"/>
              </v:shape>
            </w:pict>
          </w:r>
        </w:p>
        <w:p w:rsidR="00731030" w:rsidRDefault="005C032F" w:rsidP="00DA6CCE">
          <w:pPr>
            <w:jc w:val="both"/>
          </w:pPr>
          <w:r>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r w:rsidR="00D1226C">
            <w:t xml:space="preserve"> </w:t>
          </w:r>
        </w:p>
        <w:p w:rsidR="005C032F" w:rsidRDefault="005C032F" w:rsidP="00DA6CCE">
          <w:pPr>
            <w:jc w:val="both"/>
          </w:pPr>
          <w:r>
            <w:lastRenderedPageBreak/>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9A0E95" w:rsidP="00452FBF">
          <w:pPr>
            <w:jc w:val="center"/>
          </w:pPr>
          <w:r>
            <w:pict>
              <v:shape id="_x0000_i1030" type="#_x0000_t75" style="width:394.4pt;height:556.8pt">
                <v:imagedata r:id="rId41" o:title="envej_mascu"/>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lastRenderedPageBreak/>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9A0E95" w:rsidP="00CE6A13">
          <w:pPr>
            <w:ind w:firstLine="426"/>
            <w:jc w:val="center"/>
          </w:pPr>
          <w:r>
            <w:rPr>
              <w:noProof/>
              <w:lang w:eastAsia="es-ES"/>
            </w:rPr>
            <w:pict>
              <v:shape id="_x0000_i1031" type="#_x0000_t75" style="width:328.8pt;height:464pt">
                <v:imagedata r:id="rId42" o:title="activeconom_densi"/>
              </v:shape>
            </w:pict>
          </w:r>
        </w:p>
        <w:p w:rsidR="00DA6CCE" w:rsidRDefault="00DA6CCE" w:rsidP="0089418C">
          <w:pPr>
            <w:ind w:firstLine="708"/>
            <w:jc w:val="both"/>
          </w:pPr>
          <w:r>
            <w:t xml:space="preserve">En este primer mapa vemos una clara diferenciación en función de las diferentes actividades económicas desarrolladas en los municipios que se engloban en el grupo </w:t>
          </w:r>
          <w:r w:rsidR="003E4596">
            <w:t xml:space="preserve">FEDIVALCA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9A0E95" w:rsidP="00DA6CCE">
          <w:pPr>
            <w:ind w:firstLine="284"/>
            <w:jc w:val="center"/>
          </w:pPr>
          <w:r>
            <w:lastRenderedPageBreak/>
            <w:pict>
              <v:shape id="_x0000_i1032" type="#_x0000_t75" style="width:400.8pt;height:567.2pt">
                <v:imagedata r:id="rId43" o:title="DENSI_PARO"/>
              </v:shape>
            </w:pict>
          </w:r>
        </w:p>
        <w:p w:rsidR="00277627" w:rsidRPr="00592215" w:rsidRDefault="00B07BC3" w:rsidP="00BC2390">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8828FA">
            <w:t xml:space="preserve"> </w:t>
          </w:r>
          <w:r w:rsidR="00816A1A">
            <w:t xml:space="preserve">La Almunia, Épila, La Muela, Cariñena y Calatorao </w:t>
          </w:r>
          <w:r w:rsidR="00A23C7D">
            <w:t>son los</w:t>
          </w:r>
          <w:r w:rsidR="00F74E34">
            <w:t xml:space="preserve"> municipio</w:t>
          </w:r>
          <w:r w:rsidR="000E163E">
            <w:t>s</w:t>
          </w:r>
          <w:r w:rsidR="00EB7E4E">
            <w:t xml:space="preserve"> que </w:t>
          </w:r>
          <w:r w:rsidR="00F74E34">
            <w:t>mayor tasa de paro presenta</w:t>
          </w:r>
          <w:r w:rsidR="00A23C7D">
            <w:t>n</w:t>
          </w:r>
          <w:r w:rsidR="00EB7E4E">
            <w:t xml:space="preserve"> de todo el grupo</w:t>
          </w:r>
          <w:r w:rsidR="00816A1A">
            <w:t xml:space="preserve"> FEDIVALCA</w:t>
          </w:r>
          <w:r w:rsidR="00A23C7D">
            <w:t>.</w:t>
          </w:r>
        </w:p>
        <w:p w:rsidR="005047FE" w:rsidRDefault="00DA6CCE" w:rsidP="00DA6CCE">
          <w:pPr>
            <w:ind w:firstLine="284"/>
            <w:jc w:val="both"/>
          </w:pPr>
          <w:r>
            <w:lastRenderedPageBreak/>
            <w:t xml:space="preserve">Pero, más allá de lo que sería conocer la tasa de paro total sobre la densidad de población en el grupo </w:t>
          </w:r>
          <w:r w:rsidR="001D1C06">
            <w:t>FEDIVALCA</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9130FD" w:rsidP="00452FBF">
      <w:pPr>
        <w:jc w:val="center"/>
      </w:pPr>
      <w:r>
        <w:pict>
          <v:shape id="_x0000_i1033" type="#_x0000_t75" style="width:380pt;height:536.8pt">
            <v:imagedata r:id="rId44" o:title="densi_parohommuj"/>
          </v:shape>
        </w:pict>
      </w:r>
    </w:p>
    <w:p w:rsidR="00333763" w:rsidRDefault="00452FBF" w:rsidP="00452FBF">
      <w:pPr>
        <w:jc w:val="both"/>
      </w:pPr>
      <w:r>
        <w:tab/>
        <w:t xml:space="preserve">En este caso vemos como al establecer la diferenciación en el paro de hombres y mujeres encontramos </w:t>
      </w:r>
      <w:r w:rsidR="00F06F79">
        <w:t>que tanto existen municipios donde el paro en hombres es superior al de mujeres y viceversa además de municipios donde solo existe paro en hombre o solo en mujeres.</w:t>
      </w:r>
    </w:p>
    <w:p w:rsidR="00A954F5" w:rsidRDefault="00A954F5" w:rsidP="0046445A">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r w:rsidR="001D1C06">
        <w:t>La Almunia (11,68%), Épila (8,76%) y La Muela (6,76%).</w:t>
      </w:r>
    </w:p>
    <w:p w:rsidR="00B522B6" w:rsidRDefault="009A0E95" w:rsidP="006C1ADA">
      <w:pPr>
        <w:jc w:val="center"/>
      </w:pPr>
      <w:r>
        <w:pict>
          <v:shape id="_x0000_i1034" type="#_x0000_t75" style="width:424.8pt;height:600.8pt">
            <v:imagedata r:id="rId45" o:title="fem_paromuj"/>
          </v:shape>
        </w:pict>
      </w:r>
    </w:p>
    <w:p w:rsidR="00BF1814" w:rsidRDefault="00BF1814" w:rsidP="009130FD"/>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 xml:space="preserve">las mayores tasas de paro se concentran en las áreas donde existe una densidad de población </w:t>
      </w:r>
      <w:r w:rsidR="00905A2C">
        <w:t>alta o muy alta</w:t>
      </w:r>
      <w:r w:rsidR="00806846">
        <w:t xml:space="preserve">. </w:t>
      </w:r>
      <w:r w:rsidR="002569D9">
        <w:t>Los municipios</w:t>
      </w:r>
      <w:r w:rsidR="00806846">
        <w:t xml:space="preserve"> que presentan las mayores cifras de paro en hombres </w:t>
      </w:r>
      <w:r w:rsidR="002569D9">
        <w:t>son</w:t>
      </w:r>
      <w:r w:rsidR="00806846">
        <w:t xml:space="preserve"> </w:t>
      </w:r>
      <w:r w:rsidR="00437589">
        <w:t>La Almunia (8,41%), Épila (6,95%) y La Muela (4,91%).</w:t>
      </w:r>
    </w:p>
    <w:p w:rsidR="00EE410C" w:rsidRDefault="009A0E95" w:rsidP="009130FD">
      <w:pPr>
        <w:jc w:val="center"/>
      </w:pPr>
      <w:r>
        <w:pict>
          <v:shape id="_x0000_i1035" type="#_x0000_t75" style="width:424.8pt;height:600.8pt">
            <v:imagedata r:id="rId46" o:title="mascu_parohom"/>
          </v:shape>
        </w:pict>
      </w:r>
    </w:p>
    <w:p w:rsidR="006E4407" w:rsidRDefault="0010130B" w:rsidP="00A744E6">
      <w:pPr>
        <w:ind w:firstLine="993"/>
        <w:jc w:val="both"/>
      </w:pPr>
      <w:r>
        <w:lastRenderedPageBreak/>
        <w:t xml:space="preserve">Otra última relación que nos resultó interesante a la hora de realizar el análisis sobre </w:t>
      </w:r>
      <w:r w:rsidR="001F60B6">
        <w:t xml:space="preserve">la tasa de paro en el grupo </w:t>
      </w:r>
      <w:r w:rsidR="00271C73">
        <w:t>FEDIVALCA</w:t>
      </w:r>
      <w:r w:rsidR="00A51B0F">
        <w:t xml:space="preserve"> </w:t>
      </w:r>
      <w:r>
        <w:t>fue la del paro total y la tasa de masculinidad</w:t>
      </w:r>
      <w:r w:rsidRPr="0010130B">
        <w:t xml:space="preserve"> </w:t>
      </w:r>
      <w:r w:rsidR="00A744E6">
        <w:t xml:space="preserve">de cada </w:t>
      </w:r>
      <w:r>
        <w:t xml:space="preserve">municipio. </w:t>
      </w:r>
    </w:p>
    <w:p w:rsidR="0010130B" w:rsidRDefault="009A0E95" w:rsidP="00920468">
      <w:pPr>
        <w:ind w:firstLine="567"/>
        <w:jc w:val="both"/>
      </w:pPr>
      <w:r>
        <w:pict>
          <v:shape id="_x0000_i1036" type="#_x0000_t75" style="width:424.8pt;height:600.8pt">
            <v:imagedata r:id="rId47" o:title="mascu_paro"/>
          </v:shape>
        </w:pict>
      </w:r>
    </w:p>
    <w:p w:rsidR="00A51B0F" w:rsidRDefault="0010130B" w:rsidP="00600947">
      <w:pPr>
        <w:ind w:firstLine="708"/>
        <w:jc w:val="both"/>
      </w:pPr>
      <w:r>
        <w:t xml:space="preserve">Al relacionar estas variables observamos como las áreas con una tasa de masculinidad </w:t>
      </w:r>
      <w:r w:rsidR="00271C73">
        <w:t>alta o muy alta</w:t>
      </w:r>
      <w:r w:rsidR="00A51B0F">
        <w:t xml:space="preserve">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9A0E95" w:rsidP="006A02CE">
      <w:pPr>
        <w:jc w:val="center"/>
      </w:pPr>
      <w:r>
        <w:pict>
          <v:shape id="_x0000_i1037" type="#_x0000_t75" style="width:403.2pt;height:571.2pt">
            <v:imagedata r:id="rId48" o:title="altassegsocialhommuj_2014"/>
          </v:shape>
        </w:pict>
      </w:r>
    </w:p>
    <w:p w:rsidR="007C3A15" w:rsidRDefault="004E34E8" w:rsidP="001F60B6">
      <w:pPr>
        <w:ind w:firstLine="424"/>
        <w:jc w:val="both"/>
      </w:pPr>
      <w:r>
        <w:t xml:space="preserve">Analizando el mapa vemos como </w:t>
      </w:r>
      <w:r w:rsidR="00B83F8E">
        <w:t xml:space="preserve">casi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A36B27">
        <w:t>.</w:t>
      </w:r>
      <w:r w:rsidR="006A02CE">
        <w:t xml:space="preserve"> </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D0D" w:rsidRDefault="00BF0D0D" w:rsidP="005047FE">
      <w:pPr>
        <w:spacing w:after="0" w:line="240" w:lineRule="auto"/>
      </w:pPr>
      <w:r>
        <w:separator/>
      </w:r>
    </w:p>
  </w:endnote>
  <w:endnote w:type="continuationSeparator" w:id="0">
    <w:p w:rsidR="00BF0D0D" w:rsidRDefault="00BF0D0D"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9A0E95" w:rsidRPr="009A0E95">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11</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9A0E95" w:rsidRPr="009A0E95">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11</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D0D" w:rsidRDefault="00BF0D0D" w:rsidP="005047FE">
      <w:pPr>
        <w:spacing w:after="0" w:line="240" w:lineRule="auto"/>
      </w:pPr>
      <w:r>
        <w:separator/>
      </w:r>
    </w:p>
  </w:footnote>
  <w:footnote w:type="continuationSeparator" w:id="0">
    <w:p w:rsidR="00BF0D0D" w:rsidRDefault="00BF0D0D"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B2139C" w:rsidP="00CD1578">
              <w:pPr>
                <w:pStyle w:val="Encabezado"/>
                <w:jc w:val="center"/>
                <w:rPr>
                  <w:caps/>
                  <w:color w:val="FFFFFF" w:themeColor="background1"/>
                </w:rPr>
              </w:pPr>
              <w:r>
                <w:rPr>
                  <w:caps/>
                  <w:color w:val="FFFFFF" w:themeColor="background1"/>
                </w:rPr>
                <w:t>Caracterización territorial de Valdejalón y Campo de Cariñena. Federación para el Desarrollo Integral de Valdejalón y Campo de Cariñena (Fedivalca)</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1487D"/>
    <w:rsid w:val="000218A7"/>
    <w:rsid w:val="00046D44"/>
    <w:rsid w:val="000507AF"/>
    <w:rsid w:val="00055193"/>
    <w:rsid w:val="00055955"/>
    <w:rsid w:val="00064503"/>
    <w:rsid w:val="00070D7B"/>
    <w:rsid w:val="00071E4C"/>
    <w:rsid w:val="000725D3"/>
    <w:rsid w:val="00074483"/>
    <w:rsid w:val="00077359"/>
    <w:rsid w:val="00081AD1"/>
    <w:rsid w:val="00085C12"/>
    <w:rsid w:val="00090BB0"/>
    <w:rsid w:val="00093C75"/>
    <w:rsid w:val="00094A89"/>
    <w:rsid w:val="000A6D47"/>
    <w:rsid w:val="000A6EFE"/>
    <w:rsid w:val="000B128B"/>
    <w:rsid w:val="000B4043"/>
    <w:rsid w:val="000B686B"/>
    <w:rsid w:val="000D4777"/>
    <w:rsid w:val="000E163E"/>
    <w:rsid w:val="000E2003"/>
    <w:rsid w:val="000E24E8"/>
    <w:rsid w:val="000F1DA7"/>
    <w:rsid w:val="0010130B"/>
    <w:rsid w:val="00106908"/>
    <w:rsid w:val="0011532C"/>
    <w:rsid w:val="0012076A"/>
    <w:rsid w:val="00122850"/>
    <w:rsid w:val="0012353F"/>
    <w:rsid w:val="00123776"/>
    <w:rsid w:val="00140105"/>
    <w:rsid w:val="00162B6A"/>
    <w:rsid w:val="00162BD4"/>
    <w:rsid w:val="00172F65"/>
    <w:rsid w:val="00173249"/>
    <w:rsid w:val="00183475"/>
    <w:rsid w:val="00187242"/>
    <w:rsid w:val="00190C45"/>
    <w:rsid w:val="00191788"/>
    <w:rsid w:val="00195345"/>
    <w:rsid w:val="001B65A0"/>
    <w:rsid w:val="001D1C06"/>
    <w:rsid w:val="001D768D"/>
    <w:rsid w:val="001F0AE8"/>
    <w:rsid w:val="001F18B5"/>
    <w:rsid w:val="001F60B6"/>
    <w:rsid w:val="00202BBE"/>
    <w:rsid w:val="0020383E"/>
    <w:rsid w:val="0022169C"/>
    <w:rsid w:val="00226733"/>
    <w:rsid w:val="002334FB"/>
    <w:rsid w:val="00247F9F"/>
    <w:rsid w:val="002569D9"/>
    <w:rsid w:val="0026445A"/>
    <w:rsid w:val="00264FE6"/>
    <w:rsid w:val="002655BE"/>
    <w:rsid w:val="00271C73"/>
    <w:rsid w:val="00273C95"/>
    <w:rsid w:val="002748A7"/>
    <w:rsid w:val="0027612C"/>
    <w:rsid w:val="00277627"/>
    <w:rsid w:val="00286287"/>
    <w:rsid w:val="00286C91"/>
    <w:rsid w:val="00287406"/>
    <w:rsid w:val="002A1ADA"/>
    <w:rsid w:val="002B24BF"/>
    <w:rsid w:val="002C3354"/>
    <w:rsid w:val="002D6CE0"/>
    <w:rsid w:val="002E0141"/>
    <w:rsid w:val="002E3D44"/>
    <w:rsid w:val="003022EF"/>
    <w:rsid w:val="00306056"/>
    <w:rsid w:val="0031374B"/>
    <w:rsid w:val="00315A51"/>
    <w:rsid w:val="00326571"/>
    <w:rsid w:val="00333763"/>
    <w:rsid w:val="003431C8"/>
    <w:rsid w:val="00347641"/>
    <w:rsid w:val="003729DC"/>
    <w:rsid w:val="00377BFD"/>
    <w:rsid w:val="00382B5B"/>
    <w:rsid w:val="00384351"/>
    <w:rsid w:val="003A2C1D"/>
    <w:rsid w:val="003A36B8"/>
    <w:rsid w:val="003A5493"/>
    <w:rsid w:val="003B3FA0"/>
    <w:rsid w:val="003D4E91"/>
    <w:rsid w:val="003E0431"/>
    <w:rsid w:val="003E4596"/>
    <w:rsid w:val="003F3E4A"/>
    <w:rsid w:val="004015F0"/>
    <w:rsid w:val="004105C6"/>
    <w:rsid w:val="00416E44"/>
    <w:rsid w:val="004171E5"/>
    <w:rsid w:val="00424122"/>
    <w:rsid w:val="00425194"/>
    <w:rsid w:val="00433104"/>
    <w:rsid w:val="00437589"/>
    <w:rsid w:val="00452FBF"/>
    <w:rsid w:val="00460D1F"/>
    <w:rsid w:val="0046445A"/>
    <w:rsid w:val="004722D5"/>
    <w:rsid w:val="00482A0A"/>
    <w:rsid w:val="0048770D"/>
    <w:rsid w:val="004B1F14"/>
    <w:rsid w:val="004C76DF"/>
    <w:rsid w:val="004E34E8"/>
    <w:rsid w:val="005014DE"/>
    <w:rsid w:val="00502CCF"/>
    <w:rsid w:val="00503331"/>
    <w:rsid w:val="005047FE"/>
    <w:rsid w:val="00511130"/>
    <w:rsid w:val="00525FE6"/>
    <w:rsid w:val="005270C3"/>
    <w:rsid w:val="00531402"/>
    <w:rsid w:val="00533C22"/>
    <w:rsid w:val="00541517"/>
    <w:rsid w:val="00561851"/>
    <w:rsid w:val="00565BB1"/>
    <w:rsid w:val="00570EBA"/>
    <w:rsid w:val="00591C12"/>
    <w:rsid w:val="00591CE7"/>
    <w:rsid w:val="00592215"/>
    <w:rsid w:val="00594ABE"/>
    <w:rsid w:val="005A1F78"/>
    <w:rsid w:val="005A5F81"/>
    <w:rsid w:val="005B7974"/>
    <w:rsid w:val="005C032F"/>
    <w:rsid w:val="005C7A73"/>
    <w:rsid w:val="005D76AA"/>
    <w:rsid w:val="005E0624"/>
    <w:rsid w:val="005E1E26"/>
    <w:rsid w:val="005F081D"/>
    <w:rsid w:val="005F110C"/>
    <w:rsid w:val="005F2FC9"/>
    <w:rsid w:val="00600947"/>
    <w:rsid w:val="006032D4"/>
    <w:rsid w:val="00625167"/>
    <w:rsid w:val="006256A1"/>
    <w:rsid w:val="0063204A"/>
    <w:rsid w:val="00641D40"/>
    <w:rsid w:val="0064433B"/>
    <w:rsid w:val="00660D14"/>
    <w:rsid w:val="006622A5"/>
    <w:rsid w:val="00677B14"/>
    <w:rsid w:val="006958DB"/>
    <w:rsid w:val="00695C58"/>
    <w:rsid w:val="0069616A"/>
    <w:rsid w:val="0069681C"/>
    <w:rsid w:val="006A02CE"/>
    <w:rsid w:val="006A183E"/>
    <w:rsid w:val="006C1ADA"/>
    <w:rsid w:val="006C4406"/>
    <w:rsid w:val="006C7151"/>
    <w:rsid w:val="006D7F6B"/>
    <w:rsid w:val="006E0D50"/>
    <w:rsid w:val="006E2A0B"/>
    <w:rsid w:val="006E4407"/>
    <w:rsid w:val="006E7E54"/>
    <w:rsid w:val="006F0720"/>
    <w:rsid w:val="006F1599"/>
    <w:rsid w:val="006F2D85"/>
    <w:rsid w:val="006F376E"/>
    <w:rsid w:val="007015FF"/>
    <w:rsid w:val="00707016"/>
    <w:rsid w:val="00716F00"/>
    <w:rsid w:val="00717D25"/>
    <w:rsid w:val="0073084C"/>
    <w:rsid w:val="00731030"/>
    <w:rsid w:val="007344D7"/>
    <w:rsid w:val="00737319"/>
    <w:rsid w:val="00746BD5"/>
    <w:rsid w:val="007536C3"/>
    <w:rsid w:val="00753A60"/>
    <w:rsid w:val="0076505F"/>
    <w:rsid w:val="0077413A"/>
    <w:rsid w:val="00786699"/>
    <w:rsid w:val="007A3D6C"/>
    <w:rsid w:val="007A4C82"/>
    <w:rsid w:val="007B08E0"/>
    <w:rsid w:val="007C3A15"/>
    <w:rsid w:val="007D4708"/>
    <w:rsid w:val="007E2227"/>
    <w:rsid w:val="00806846"/>
    <w:rsid w:val="00816A1A"/>
    <w:rsid w:val="008222AC"/>
    <w:rsid w:val="008274D8"/>
    <w:rsid w:val="00830526"/>
    <w:rsid w:val="00840B45"/>
    <w:rsid w:val="00851169"/>
    <w:rsid w:val="00855FEF"/>
    <w:rsid w:val="008828FA"/>
    <w:rsid w:val="008836D8"/>
    <w:rsid w:val="00891EB9"/>
    <w:rsid w:val="0089418C"/>
    <w:rsid w:val="0089728B"/>
    <w:rsid w:val="008C012D"/>
    <w:rsid w:val="008C129D"/>
    <w:rsid w:val="008D4C33"/>
    <w:rsid w:val="008E143A"/>
    <w:rsid w:val="008E2D35"/>
    <w:rsid w:val="008E3136"/>
    <w:rsid w:val="008E5F23"/>
    <w:rsid w:val="008E7AAF"/>
    <w:rsid w:val="008F1315"/>
    <w:rsid w:val="00905A2C"/>
    <w:rsid w:val="00906EF5"/>
    <w:rsid w:val="009130FD"/>
    <w:rsid w:val="00920468"/>
    <w:rsid w:val="00923EF1"/>
    <w:rsid w:val="00924E6A"/>
    <w:rsid w:val="0092710E"/>
    <w:rsid w:val="00934ACD"/>
    <w:rsid w:val="00943066"/>
    <w:rsid w:val="00947CA6"/>
    <w:rsid w:val="009508AE"/>
    <w:rsid w:val="00952CB9"/>
    <w:rsid w:val="00962120"/>
    <w:rsid w:val="00964877"/>
    <w:rsid w:val="009704C6"/>
    <w:rsid w:val="00974B32"/>
    <w:rsid w:val="009959FE"/>
    <w:rsid w:val="009A0E95"/>
    <w:rsid w:val="009A7493"/>
    <w:rsid w:val="009C0390"/>
    <w:rsid w:val="009C4330"/>
    <w:rsid w:val="009D7D21"/>
    <w:rsid w:val="009E04F8"/>
    <w:rsid w:val="009F21D0"/>
    <w:rsid w:val="00A032D9"/>
    <w:rsid w:val="00A06A74"/>
    <w:rsid w:val="00A153AD"/>
    <w:rsid w:val="00A23C7D"/>
    <w:rsid w:val="00A33934"/>
    <w:rsid w:val="00A347CE"/>
    <w:rsid w:val="00A36B27"/>
    <w:rsid w:val="00A51B0F"/>
    <w:rsid w:val="00A57180"/>
    <w:rsid w:val="00A744E6"/>
    <w:rsid w:val="00A84D47"/>
    <w:rsid w:val="00A870E9"/>
    <w:rsid w:val="00A954F5"/>
    <w:rsid w:val="00AA5A16"/>
    <w:rsid w:val="00AB306F"/>
    <w:rsid w:val="00AB3ED5"/>
    <w:rsid w:val="00AC72AA"/>
    <w:rsid w:val="00AD3651"/>
    <w:rsid w:val="00AE2FAD"/>
    <w:rsid w:val="00AE51FF"/>
    <w:rsid w:val="00AF6F41"/>
    <w:rsid w:val="00AF7330"/>
    <w:rsid w:val="00B01298"/>
    <w:rsid w:val="00B0534D"/>
    <w:rsid w:val="00B07BC3"/>
    <w:rsid w:val="00B11D9E"/>
    <w:rsid w:val="00B12E0D"/>
    <w:rsid w:val="00B2139C"/>
    <w:rsid w:val="00B26632"/>
    <w:rsid w:val="00B30CAE"/>
    <w:rsid w:val="00B32B00"/>
    <w:rsid w:val="00B330FA"/>
    <w:rsid w:val="00B4331E"/>
    <w:rsid w:val="00B50C23"/>
    <w:rsid w:val="00B522B6"/>
    <w:rsid w:val="00B55AEC"/>
    <w:rsid w:val="00B560F9"/>
    <w:rsid w:val="00B56B75"/>
    <w:rsid w:val="00B636B4"/>
    <w:rsid w:val="00B7067C"/>
    <w:rsid w:val="00B8002C"/>
    <w:rsid w:val="00B808EA"/>
    <w:rsid w:val="00B82F1B"/>
    <w:rsid w:val="00B83F8E"/>
    <w:rsid w:val="00B864C0"/>
    <w:rsid w:val="00B96BF7"/>
    <w:rsid w:val="00BA3F5E"/>
    <w:rsid w:val="00BA5C6C"/>
    <w:rsid w:val="00BB47F5"/>
    <w:rsid w:val="00BB4E9C"/>
    <w:rsid w:val="00BB76CF"/>
    <w:rsid w:val="00BB78C6"/>
    <w:rsid w:val="00BC02FE"/>
    <w:rsid w:val="00BC2390"/>
    <w:rsid w:val="00BC35E8"/>
    <w:rsid w:val="00BC4612"/>
    <w:rsid w:val="00BD5C8F"/>
    <w:rsid w:val="00BE0DDE"/>
    <w:rsid w:val="00BE3139"/>
    <w:rsid w:val="00BE4020"/>
    <w:rsid w:val="00BE533F"/>
    <w:rsid w:val="00BE5550"/>
    <w:rsid w:val="00BF0D0D"/>
    <w:rsid w:val="00BF1814"/>
    <w:rsid w:val="00C011E9"/>
    <w:rsid w:val="00C22CED"/>
    <w:rsid w:val="00C2569A"/>
    <w:rsid w:val="00C33F8E"/>
    <w:rsid w:val="00C41E28"/>
    <w:rsid w:val="00C434E8"/>
    <w:rsid w:val="00C45E03"/>
    <w:rsid w:val="00C47ACF"/>
    <w:rsid w:val="00C6430F"/>
    <w:rsid w:val="00C6493A"/>
    <w:rsid w:val="00C6659C"/>
    <w:rsid w:val="00C6670D"/>
    <w:rsid w:val="00C85969"/>
    <w:rsid w:val="00CA7931"/>
    <w:rsid w:val="00CD1578"/>
    <w:rsid w:val="00CE55AE"/>
    <w:rsid w:val="00CE6A13"/>
    <w:rsid w:val="00CE7FA3"/>
    <w:rsid w:val="00CF506D"/>
    <w:rsid w:val="00D0138C"/>
    <w:rsid w:val="00D050E3"/>
    <w:rsid w:val="00D06C17"/>
    <w:rsid w:val="00D1226C"/>
    <w:rsid w:val="00D139A2"/>
    <w:rsid w:val="00D16764"/>
    <w:rsid w:val="00D17F3A"/>
    <w:rsid w:val="00D2402F"/>
    <w:rsid w:val="00D32D7F"/>
    <w:rsid w:val="00D340F6"/>
    <w:rsid w:val="00D37867"/>
    <w:rsid w:val="00D73EFB"/>
    <w:rsid w:val="00D8012D"/>
    <w:rsid w:val="00D819FE"/>
    <w:rsid w:val="00D90B39"/>
    <w:rsid w:val="00D9368B"/>
    <w:rsid w:val="00DA02BE"/>
    <w:rsid w:val="00DA0DF8"/>
    <w:rsid w:val="00DA6CCE"/>
    <w:rsid w:val="00DB2988"/>
    <w:rsid w:val="00DB2C44"/>
    <w:rsid w:val="00DB3992"/>
    <w:rsid w:val="00DC45B6"/>
    <w:rsid w:val="00DC4996"/>
    <w:rsid w:val="00DF1E37"/>
    <w:rsid w:val="00DF3ECE"/>
    <w:rsid w:val="00E278F1"/>
    <w:rsid w:val="00E44EC7"/>
    <w:rsid w:val="00E52453"/>
    <w:rsid w:val="00E558B9"/>
    <w:rsid w:val="00E57B3A"/>
    <w:rsid w:val="00E643A6"/>
    <w:rsid w:val="00E66DCA"/>
    <w:rsid w:val="00E73376"/>
    <w:rsid w:val="00E7420F"/>
    <w:rsid w:val="00E753DC"/>
    <w:rsid w:val="00E81C69"/>
    <w:rsid w:val="00E87CD9"/>
    <w:rsid w:val="00EA5905"/>
    <w:rsid w:val="00EB1834"/>
    <w:rsid w:val="00EB35BC"/>
    <w:rsid w:val="00EB4400"/>
    <w:rsid w:val="00EB7E4E"/>
    <w:rsid w:val="00EC5221"/>
    <w:rsid w:val="00EE410C"/>
    <w:rsid w:val="00EE4D4D"/>
    <w:rsid w:val="00EE76FE"/>
    <w:rsid w:val="00EF445D"/>
    <w:rsid w:val="00F00975"/>
    <w:rsid w:val="00F00D75"/>
    <w:rsid w:val="00F06D75"/>
    <w:rsid w:val="00F06F79"/>
    <w:rsid w:val="00F227F3"/>
    <w:rsid w:val="00F26BCE"/>
    <w:rsid w:val="00F34F01"/>
    <w:rsid w:val="00F36D27"/>
    <w:rsid w:val="00F54164"/>
    <w:rsid w:val="00F6732C"/>
    <w:rsid w:val="00F7027F"/>
    <w:rsid w:val="00F74E34"/>
    <w:rsid w:val="00F751C4"/>
    <w:rsid w:val="00F916A3"/>
    <w:rsid w:val="00F91968"/>
    <w:rsid w:val="00FA17CC"/>
    <w:rsid w:val="00FB6149"/>
    <w:rsid w:val="00FC644D"/>
    <w:rsid w:val="00FF1BE4"/>
    <w:rsid w:val="00FF78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195049986">
      <w:bodyDiv w:val="1"/>
      <w:marLeft w:val="0"/>
      <w:marRight w:val="0"/>
      <w:marTop w:val="0"/>
      <w:marBottom w:val="0"/>
      <w:divBdr>
        <w:top w:val="none" w:sz="0" w:space="0" w:color="auto"/>
        <w:left w:val="none" w:sz="0" w:space="0" w:color="auto"/>
        <w:bottom w:val="none" w:sz="0" w:space="0" w:color="auto"/>
        <w:right w:val="none" w:sz="0" w:space="0" w:color="auto"/>
      </w:divBdr>
    </w:div>
    <w:div w:id="196045103">
      <w:bodyDiv w:val="1"/>
      <w:marLeft w:val="0"/>
      <w:marRight w:val="0"/>
      <w:marTop w:val="0"/>
      <w:marBottom w:val="0"/>
      <w:divBdr>
        <w:top w:val="none" w:sz="0" w:space="0" w:color="auto"/>
        <w:left w:val="none" w:sz="0" w:space="0" w:color="auto"/>
        <w:bottom w:val="none" w:sz="0" w:space="0" w:color="auto"/>
        <w:right w:val="none" w:sz="0" w:space="0" w:color="auto"/>
      </w:divBdr>
    </w:div>
    <w:div w:id="225607219">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264314769">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407264498">
      <w:bodyDiv w:val="1"/>
      <w:marLeft w:val="0"/>
      <w:marRight w:val="0"/>
      <w:marTop w:val="0"/>
      <w:marBottom w:val="0"/>
      <w:divBdr>
        <w:top w:val="none" w:sz="0" w:space="0" w:color="auto"/>
        <w:left w:val="none" w:sz="0" w:space="0" w:color="auto"/>
        <w:bottom w:val="none" w:sz="0" w:space="0" w:color="auto"/>
        <w:right w:val="none" w:sz="0" w:space="0" w:color="auto"/>
      </w:divBdr>
    </w:div>
    <w:div w:id="432476750">
      <w:bodyDiv w:val="1"/>
      <w:marLeft w:val="0"/>
      <w:marRight w:val="0"/>
      <w:marTop w:val="0"/>
      <w:marBottom w:val="0"/>
      <w:divBdr>
        <w:top w:val="none" w:sz="0" w:space="0" w:color="auto"/>
        <w:left w:val="none" w:sz="0" w:space="0" w:color="auto"/>
        <w:bottom w:val="none" w:sz="0" w:space="0" w:color="auto"/>
        <w:right w:val="none" w:sz="0" w:space="0" w:color="auto"/>
      </w:divBdr>
    </w:div>
    <w:div w:id="435834311">
      <w:bodyDiv w:val="1"/>
      <w:marLeft w:val="0"/>
      <w:marRight w:val="0"/>
      <w:marTop w:val="0"/>
      <w:marBottom w:val="0"/>
      <w:divBdr>
        <w:top w:val="none" w:sz="0" w:space="0" w:color="auto"/>
        <w:left w:val="none" w:sz="0" w:space="0" w:color="auto"/>
        <w:bottom w:val="none" w:sz="0" w:space="0" w:color="auto"/>
        <w:right w:val="none" w:sz="0" w:space="0" w:color="auto"/>
      </w:divBdr>
    </w:div>
    <w:div w:id="43922829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541482422">
      <w:bodyDiv w:val="1"/>
      <w:marLeft w:val="0"/>
      <w:marRight w:val="0"/>
      <w:marTop w:val="0"/>
      <w:marBottom w:val="0"/>
      <w:divBdr>
        <w:top w:val="none" w:sz="0" w:space="0" w:color="auto"/>
        <w:left w:val="none" w:sz="0" w:space="0" w:color="auto"/>
        <w:bottom w:val="none" w:sz="0" w:space="0" w:color="auto"/>
        <w:right w:val="none" w:sz="0" w:space="0" w:color="auto"/>
      </w:divBdr>
    </w:div>
    <w:div w:id="583300093">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699939132">
      <w:bodyDiv w:val="1"/>
      <w:marLeft w:val="0"/>
      <w:marRight w:val="0"/>
      <w:marTop w:val="0"/>
      <w:marBottom w:val="0"/>
      <w:divBdr>
        <w:top w:val="none" w:sz="0" w:space="0" w:color="auto"/>
        <w:left w:val="none" w:sz="0" w:space="0" w:color="auto"/>
        <w:bottom w:val="none" w:sz="0" w:space="0" w:color="auto"/>
        <w:right w:val="none" w:sz="0" w:space="0" w:color="auto"/>
      </w:divBdr>
    </w:div>
    <w:div w:id="798691181">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38928568">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880559217">
      <w:bodyDiv w:val="1"/>
      <w:marLeft w:val="0"/>
      <w:marRight w:val="0"/>
      <w:marTop w:val="0"/>
      <w:marBottom w:val="0"/>
      <w:divBdr>
        <w:top w:val="none" w:sz="0" w:space="0" w:color="auto"/>
        <w:left w:val="none" w:sz="0" w:space="0" w:color="auto"/>
        <w:bottom w:val="none" w:sz="0" w:space="0" w:color="auto"/>
        <w:right w:val="none" w:sz="0" w:space="0" w:color="auto"/>
      </w:divBdr>
    </w:div>
    <w:div w:id="892469666">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49124126">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28287974">
      <w:bodyDiv w:val="1"/>
      <w:marLeft w:val="0"/>
      <w:marRight w:val="0"/>
      <w:marTop w:val="0"/>
      <w:marBottom w:val="0"/>
      <w:divBdr>
        <w:top w:val="none" w:sz="0" w:space="0" w:color="auto"/>
        <w:left w:val="none" w:sz="0" w:space="0" w:color="auto"/>
        <w:bottom w:val="none" w:sz="0" w:space="0" w:color="auto"/>
        <w:right w:val="none" w:sz="0" w:space="0" w:color="auto"/>
      </w:divBdr>
    </w:div>
    <w:div w:id="1065642855">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25531140">
      <w:bodyDiv w:val="1"/>
      <w:marLeft w:val="0"/>
      <w:marRight w:val="0"/>
      <w:marTop w:val="0"/>
      <w:marBottom w:val="0"/>
      <w:divBdr>
        <w:top w:val="none" w:sz="0" w:space="0" w:color="auto"/>
        <w:left w:val="none" w:sz="0" w:space="0" w:color="auto"/>
        <w:bottom w:val="none" w:sz="0" w:space="0" w:color="auto"/>
        <w:right w:val="none" w:sz="0" w:space="0" w:color="auto"/>
      </w:divBdr>
    </w:div>
    <w:div w:id="1243292502">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274747791">
      <w:bodyDiv w:val="1"/>
      <w:marLeft w:val="0"/>
      <w:marRight w:val="0"/>
      <w:marTop w:val="0"/>
      <w:marBottom w:val="0"/>
      <w:divBdr>
        <w:top w:val="none" w:sz="0" w:space="0" w:color="auto"/>
        <w:left w:val="none" w:sz="0" w:space="0" w:color="auto"/>
        <w:bottom w:val="none" w:sz="0" w:space="0" w:color="auto"/>
        <w:right w:val="none" w:sz="0" w:space="0" w:color="auto"/>
      </w:divBdr>
    </w:div>
    <w:div w:id="1305354285">
      <w:bodyDiv w:val="1"/>
      <w:marLeft w:val="0"/>
      <w:marRight w:val="0"/>
      <w:marTop w:val="0"/>
      <w:marBottom w:val="0"/>
      <w:divBdr>
        <w:top w:val="none" w:sz="0" w:space="0" w:color="auto"/>
        <w:left w:val="none" w:sz="0" w:space="0" w:color="auto"/>
        <w:bottom w:val="none" w:sz="0" w:space="0" w:color="auto"/>
        <w:right w:val="none" w:sz="0" w:space="0" w:color="auto"/>
      </w:divBdr>
    </w:div>
    <w:div w:id="1315719825">
      <w:bodyDiv w:val="1"/>
      <w:marLeft w:val="0"/>
      <w:marRight w:val="0"/>
      <w:marTop w:val="0"/>
      <w:marBottom w:val="0"/>
      <w:divBdr>
        <w:top w:val="none" w:sz="0" w:space="0" w:color="auto"/>
        <w:left w:val="none" w:sz="0" w:space="0" w:color="auto"/>
        <w:bottom w:val="none" w:sz="0" w:space="0" w:color="auto"/>
        <w:right w:val="none" w:sz="0" w:space="0" w:color="auto"/>
      </w:divBdr>
    </w:div>
    <w:div w:id="1332753439">
      <w:bodyDiv w:val="1"/>
      <w:marLeft w:val="0"/>
      <w:marRight w:val="0"/>
      <w:marTop w:val="0"/>
      <w:marBottom w:val="0"/>
      <w:divBdr>
        <w:top w:val="none" w:sz="0" w:space="0" w:color="auto"/>
        <w:left w:val="none" w:sz="0" w:space="0" w:color="auto"/>
        <w:bottom w:val="none" w:sz="0" w:space="0" w:color="auto"/>
        <w:right w:val="none" w:sz="0" w:space="0" w:color="auto"/>
      </w:divBdr>
    </w:div>
    <w:div w:id="1387413962">
      <w:bodyDiv w:val="1"/>
      <w:marLeft w:val="0"/>
      <w:marRight w:val="0"/>
      <w:marTop w:val="0"/>
      <w:marBottom w:val="0"/>
      <w:divBdr>
        <w:top w:val="none" w:sz="0" w:space="0" w:color="auto"/>
        <w:left w:val="none" w:sz="0" w:space="0" w:color="auto"/>
        <w:bottom w:val="none" w:sz="0" w:space="0" w:color="auto"/>
        <w:right w:val="none" w:sz="0" w:space="0" w:color="auto"/>
      </w:divBdr>
    </w:div>
    <w:div w:id="1393457259">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456097464">
      <w:bodyDiv w:val="1"/>
      <w:marLeft w:val="0"/>
      <w:marRight w:val="0"/>
      <w:marTop w:val="0"/>
      <w:marBottom w:val="0"/>
      <w:divBdr>
        <w:top w:val="none" w:sz="0" w:space="0" w:color="auto"/>
        <w:left w:val="none" w:sz="0" w:space="0" w:color="auto"/>
        <w:bottom w:val="none" w:sz="0" w:space="0" w:color="auto"/>
        <w:right w:val="none" w:sz="0" w:space="0" w:color="auto"/>
      </w:divBdr>
    </w:div>
    <w:div w:id="1481656432">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75971851">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23346099">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54667324">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26916985">
      <w:bodyDiv w:val="1"/>
      <w:marLeft w:val="0"/>
      <w:marRight w:val="0"/>
      <w:marTop w:val="0"/>
      <w:marBottom w:val="0"/>
      <w:divBdr>
        <w:top w:val="none" w:sz="0" w:space="0" w:color="auto"/>
        <w:left w:val="none" w:sz="0" w:space="0" w:color="auto"/>
        <w:bottom w:val="none" w:sz="0" w:space="0" w:color="auto"/>
        <w:right w:val="none" w:sz="0" w:space="0" w:color="auto"/>
      </w:divBdr>
    </w:div>
    <w:div w:id="1947538563">
      <w:bodyDiv w:val="1"/>
      <w:marLeft w:val="0"/>
      <w:marRight w:val="0"/>
      <w:marTop w:val="0"/>
      <w:marBottom w:val="0"/>
      <w:divBdr>
        <w:top w:val="none" w:sz="0" w:space="0" w:color="auto"/>
        <w:left w:val="none" w:sz="0" w:space="0" w:color="auto"/>
        <w:bottom w:val="none" w:sz="0" w:space="0" w:color="auto"/>
        <w:right w:val="none" w:sz="0" w:space="0" w:color="auto"/>
      </w:divBdr>
    </w:div>
    <w:div w:id="1957519659">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2320932">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26781083">
      <w:bodyDiv w:val="1"/>
      <w:marLeft w:val="0"/>
      <w:marRight w:val="0"/>
      <w:marTop w:val="0"/>
      <w:marBottom w:val="0"/>
      <w:divBdr>
        <w:top w:val="none" w:sz="0" w:space="0" w:color="auto"/>
        <w:left w:val="none" w:sz="0" w:space="0" w:color="auto"/>
        <w:bottom w:val="none" w:sz="0" w:space="0" w:color="auto"/>
        <w:right w:val="none" w:sz="0" w:space="0" w:color="auto"/>
      </w:divBdr>
    </w:div>
    <w:div w:id="2068651405">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09643953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(FEDIVALCA)</a:t>
            </a:r>
            <a:endParaRPr lang="es-ES" sz="1400"/>
          </a:p>
        </c:rich>
      </c:tx>
      <c:layout/>
      <c:overlay val="0"/>
      <c:spPr>
        <a:solidFill>
          <a:schemeClr val="accent4">
            <a:lumMod val="20000"/>
            <a:lumOff val="80000"/>
          </a:schemeClr>
        </a:solidFill>
      </c:spPr>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2.4594338936185695E-2</c:v>
                </c:pt>
                <c:pt idx="1">
                  <c:v>2.3017778747968662E-2</c:v>
                </c:pt>
                <c:pt idx="2">
                  <c:v>2.0010187004293096E-2</c:v>
                </c:pt>
                <c:pt idx="3">
                  <c:v>1.857915544883456E-2</c:v>
                </c:pt>
                <c:pt idx="4">
                  <c:v>2.5467510732736665E-2</c:v>
                </c:pt>
                <c:pt idx="5">
                  <c:v>3.150694899221422E-2</c:v>
                </c:pt>
                <c:pt idx="6">
                  <c:v>3.8589342453127652E-2</c:v>
                </c:pt>
                <c:pt idx="7">
                  <c:v>3.7643406340197437E-2</c:v>
                </c:pt>
                <c:pt idx="8">
                  <c:v>3.5314948216061508E-2</c:v>
                </c:pt>
                <c:pt idx="9">
                  <c:v>3.4174973926119963E-2</c:v>
                </c:pt>
                <c:pt idx="10">
                  <c:v>3.0706541512042496E-2</c:v>
                </c:pt>
                <c:pt idx="11">
                  <c:v>2.5516020276989498E-2</c:v>
                </c:pt>
                <c:pt idx="12">
                  <c:v>2.2702466710325258E-2</c:v>
                </c:pt>
                <c:pt idx="13">
                  <c:v>2.0907613572970482E-2</c:v>
                </c:pt>
                <c:pt idx="14">
                  <c:v>2.0131460864925173E-2</c:v>
                </c:pt>
                <c:pt idx="15">
                  <c:v>2.1950568774406366E-2</c:v>
                </c:pt>
                <c:pt idx="16">
                  <c:v>2.1999078318659195E-2</c:v>
                </c:pt>
                <c:pt idx="17">
                  <c:v>1.610516869194014E-2</c:v>
                </c:pt>
                <c:pt idx="18">
                  <c:v>6.0394382594775526E-3</c:v>
                </c:pt>
                <c:pt idx="19">
                  <c:v>1.6008149603434477E-3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-2.4885396201702686E-2</c:v>
                </c:pt>
                <c:pt idx="1">
                  <c:v>-2.3527128962623396E-2</c:v>
                </c:pt>
                <c:pt idx="2">
                  <c:v>-2.2508428533313928E-2</c:v>
                </c:pt>
                <c:pt idx="3">
                  <c:v>-2.0616556307453491E-2</c:v>
                </c:pt>
                <c:pt idx="4">
                  <c:v>-2.5249217783598923E-2</c:v>
                </c:pt>
                <c:pt idx="5">
                  <c:v>-3.5630260253704915E-2</c:v>
                </c:pt>
                <c:pt idx="6">
                  <c:v>-4.5453442964903341E-2</c:v>
                </c:pt>
                <c:pt idx="7">
                  <c:v>-4.9358461277256301E-2</c:v>
                </c:pt>
                <c:pt idx="8">
                  <c:v>-4.8242741759441168E-2</c:v>
                </c:pt>
                <c:pt idx="9">
                  <c:v>-4.1548424652550389E-2</c:v>
                </c:pt>
                <c:pt idx="10">
                  <c:v>-3.7691915884450262E-2</c:v>
                </c:pt>
                <c:pt idx="11">
                  <c:v>-2.9032962235319801E-2</c:v>
                </c:pt>
                <c:pt idx="12">
                  <c:v>-2.64377016177933E-2</c:v>
                </c:pt>
                <c:pt idx="13">
                  <c:v>-2.3284581241359237E-2</c:v>
                </c:pt>
                <c:pt idx="14">
                  <c:v>-2.03254990419365E-2</c:v>
                </c:pt>
                <c:pt idx="15">
                  <c:v>-1.9258289068374203E-2</c:v>
                </c:pt>
                <c:pt idx="16">
                  <c:v>-1.7608964563777925E-2</c:v>
                </c:pt>
                <c:pt idx="17">
                  <c:v>-9.0712847752795357E-3</c:v>
                </c:pt>
                <c:pt idx="18">
                  <c:v>-3.1288656043076475E-3</c:v>
                </c:pt>
                <c:pt idx="19">
                  <c:v>-5.821145310339809E-4</c:v>
                </c:pt>
              </c:numCache>
            </c:numRef>
          </c:val>
        </c:ser>
        <c:dLbls>
          <c:showLegendKey val="0"/>
          <c:showVal val="0"/>
          <c:showCatName val="0"/>
          <c:showSerName val="0"/>
          <c:showPercent val="0"/>
          <c:showBubbleSize val="0"/>
        </c:dLbls>
        <c:gapWidth val="150"/>
        <c:axId val="108365312"/>
        <c:axId val="85195520"/>
      </c:barChart>
      <c:catAx>
        <c:axId val="108365312"/>
        <c:scaling>
          <c:orientation val="minMax"/>
        </c:scaling>
        <c:delete val="0"/>
        <c:axPos val="l"/>
        <c:majorTickMark val="out"/>
        <c:minorTickMark val="none"/>
        <c:tickLblPos val="low"/>
        <c:crossAx val="85195520"/>
        <c:crosses val="autoZero"/>
        <c:auto val="1"/>
        <c:lblAlgn val="ctr"/>
        <c:lblOffset val="100"/>
        <c:noMultiLvlLbl val="0"/>
      </c:catAx>
      <c:valAx>
        <c:axId val="85195520"/>
        <c:scaling>
          <c:orientation val="minMax"/>
        </c:scaling>
        <c:delete val="1"/>
        <c:axPos val="b"/>
        <c:majorGridlines/>
        <c:numFmt formatCode="General" sourceLinked="1"/>
        <c:majorTickMark val="out"/>
        <c:minorTickMark val="none"/>
        <c:tickLblPos val="nextTo"/>
        <c:crossAx val="10836531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FEDIVALCA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7306661174214281E-2"/>
          <c:y val="0.10565033537474483"/>
          <c:w val="0.89910843316540834"/>
          <c:h val="0.63618633845011796"/>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85</c:v>
                </c:pt>
                <c:pt idx="1">
                  <c:v>527</c:v>
                </c:pt>
                <c:pt idx="2">
                  <c:v>1137</c:v>
                </c:pt>
                <c:pt idx="3">
                  <c:v>1634</c:v>
                </c:pt>
                <c:pt idx="4">
                  <c:v>2122</c:v>
                </c:pt>
                <c:pt idx="5">
                  <c:v>2079</c:v>
                </c:pt>
                <c:pt idx="6">
                  <c:v>1684</c:v>
                </c:pt>
                <c:pt idx="7">
                  <c:v>1373</c:v>
                </c:pt>
                <c:pt idx="8">
                  <c:v>864</c:v>
                </c:pt>
                <c:pt idx="9">
                  <c:v>561</c:v>
                </c:pt>
                <c:pt idx="10">
                  <c:v>54</c:v>
                </c:pt>
                <c:pt idx="11">
                  <c:v>12</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20</c:v>
                </c:pt>
                <c:pt idx="1">
                  <c:v>251</c:v>
                </c:pt>
                <c:pt idx="2">
                  <c:v>554</c:v>
                </c:pt>
                <c:pt idx="3">
                  <c:v>803</c:v>
                </c:pt>
                <c:pt idx="4">
                  <c:v>1066</c:v>
                </c:pt>
                <c:pt idx="5">
                  <c:v>1019</c:v>
                </c:pt>
                <c:pt idx="6">
                  <c:v>813</c:v>
                </c:pt>
                <c:pt idx="7">
                  <c:v>652</c:v>
                </c:pt>
                <c:pt idx="8">
                  <c:v>449</c:v>
                </c:pt>
                <c:pt idx="9">
                  <c:v>243</c:v>
                </c:pt>
                <c:pt idx="10">
                  <c:v>30</c:v>
                </c:pt>
                <c:pt idx="11">
                  <c:v>7</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105</c:v>
                </c:pt>
                <c:pt idx="1">
                  <c:v>778</c:v>
                </c:pt>
                <c:pt idx="2">
                  <c:v>1691</c:v>
                </c:pt>
                <c:pt idx="3">
                  <c:v>2437</c:v>
                </c:pt>
                <c:pt idx="4">
                  <c:v>3188</c:v>
                </c:pt>
                <c:pt idx="5">
                  <c:v>3098</c:v>
                </c:pt>
                <c:pt idx="6">
                  <c:v>2497</c:v>
                </c:pt>
                <c:pt idx="7">
                  <c:v>2025</c:v>
                </c:pt>
                <c:pt idx="8">
                  <c:v>1313</c:v>
                </c:pt>
                <c:pt idx="9">
                  <c:v>804</c:v>
                </c:pt>
                <c:pt idx="10">
                  <c:v>84</c:v>
                </c:pt>
                <c:pt idx="11">
                  <c:v>19</c:v>
                </c:pt>
              </c:numCache>
            </c:numRef>
          </c:val>
        </c:ser>
        <c:dLbls>
          <c:showLegendKey val="0"/>
          <c:showVal val="0"/>
          <c:showCatName val="0"/>
          <c:showSerName val="0"/>
          <c:showPercent val="0"/>
          <c:showBubbleSize val="0"/>
        </c:dLbls>
        <c:gapWidth val="150"/>
        <c:axId val="109100544"/>
        <c:axId val="109384768"/>
      </c:barChart>
      <c:catAx>
        <c:axId val="109100544"/>
        <c:scaling>
          <c:orientation val="minMax"/>
        </c:scaling>
        <c:delete val="0"/>
        <c:axPos val="b"/>
        <c:majorTickMark val="out"/>
        <c:minorTickMark val="none"/>
        <c:tickLblPos val="nextTo"/>
        <c:crossAx val="109384768"/>
        <c:crosses val="autoZero"/>
        <c:auto val="1"/>
        <c:lblAlgn val="ctr"/>
        <c:lblOffset val="100"/>
        <c:noMultiLvlLbl val="0"/>
      </c:catAx>
      <c:valAx>
        <c:axId val="109384768"/>
        <c:scaling>
          <c:orientation val="minMax"/>
        </c:scaling>
        <c:delete val="0"/>
        <c:axPos val="l"/>
        <c:majorGridlines/>
        <c:numFmt formatCode="General" sourceLinked="1"/>
        <c:majorTickMark val="out"/>
        <c:minorTickMark val="none"/>
        <c:tickLblPos val="nextTo"/>
        <c:crossAx val="10910054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FEDIVALCA</a:t>
            </a:r>
          </a:p>
        </c:rich>
      </c:tx>
      <c:layout/>
      <c:overlay val="1"/>
    </c:title>
    <c:autoTitleDeleted val="0"/>
    <c:pivotFmts>
      <c:pivotFmt>
        <c:idx val="0"/>
      </c:pivotFmt>
      <c:pivotFmt>
        <c:idx val="1"/>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7306661174214281E-2"/>
          <c:y val="0.10732943949440531"/>
          <c:w val="0.89910843316540834"/>
          <c:h val="0.64045178460422714"/>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147</c:v>
                </c:pt>
                <c:pt idx="1">
                  <c:v>658</c:v>
                </c:pt>
                <c:pt idx="2">
                  <c:v>1321</c:v>
                </c:pt>
                <c:pt idx="3">
                  <c:v>1751</c:v>
                </c:pt>
                <c:pt idx="4">
                  <c:v>2316</c:v>
                </c:pt>
                <c:pt idx="5">
                  <c:v>2257</c:v>
                </c:pt>
                <c:pt idx="6">
                  <c:v>1782</c:v>
                </c:pt>
                <c:pt idx="7">
                  <c:v>1423</c:v>
                </c:pt>
                <c:pt idx="8">
                  <c:v>918</c:v>
                </c:pt>
                <c:pt idx="9">
                  <c:v>579</c:v>
                </c:pt>
                <c:pt idx="10">
                  <c:v>50</c:v>
                </c:pt>
                <c:pt idx="11">
                  <c:v>11</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55</c:v>
                </c:pt>
                <c:pt idx="1">
                  <c:v>338</c:v>
                </c:pt>
                <c:pt idx="2">
                  <c:v>646</c:v>
                </c:pt>
                <c:pt idx="3">
                  <c:v>930</c:v>
                </c:pt>
                <c:pt idx="4">
                  <c:v>1174</c:v>
                </c:pt>
                <c:pt idx="5">
                  <c:v>1122</c:v>
                </c:pt>
                <c:pt idx="6">
                  <c:v>931</c:v>
                </c:pt>
                <c:pt idx="7">
                  <c:v>670</c:v>
                </c:pt>
                <c:pt idx="8">
                  <c:v>480</c:v>
                </c:pt>
                <c:pt idx="9">
                  <c:v>238</c:v>
                </c:pt>
                <c:pt idx="10">
                  <c:v>31</c:v>
                </c:pt>
                <c:pt idx="11">
                  <c:v>4</c:v>
                </c:pt>
              </c:numCache>
            </c:numRef>
          </c:val>
        </c:ser>
        <c:dLbls>
          <c:showLegendKey val="0"/>
          <c:showVal val="0"/>
          <c:showCatName val="0"/>
          <c:showSerName val="0"/>
          <c:showPercent val="0"/>
          <c:showBubbleSize val="0"/>
        </c:dLbls>
        <c:gapWidth val="150"/>
        <c:axId val="109099008"/>
        <c:axId val="109386496"/>
      </c:barChart>
      <c:catAx>
        <c:axId val="109099008"/>
        <c:scaling>
          <c:orientation val="minMax"/>
        </c:scaling>
        <c:delete val="0"/>
        <c:axPos val="b"/>
        <c:majorTickMark val="out"/>
        <c:minorTickMark val="none"/>
        <c:tickLblPos val="nextTo"/>
        <c:crossAx val="109386496"/>
        <c:crosses val="autoZero"/>
        <c:auto val="1"/>
        <c:lblAlgn val="ctr"/>
        <c:lblOffset val="100"/>
        <c:noMultiLvlLbl val="0"/>
      </c:catAx>
      <c:valAx>
        <c:axId val="109386496"/>
        <c:scaling>
          <c:orientation val="minMax"/>
        </c:scaling>
        <c:delete val="0"/>
        <c:axPos val="l"/>
        <c:majorGridlines/>
        <c:numFmt formatCode="General" sourceLinked="1"/>
        <c:majorTickMark val="out"/>
        <c:minorTickMark val="none"/>
        <c:tickLblPos val="nextTo"/>
        <c:crossAx val="10909900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2.3108453114764827E-2"/>
          <c:y val="0.1300259385739766"/>
          <c:w val="0.68633033086773243"/>
          <c:h val="0.65031430808717972"/>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FEDIVALCA</c:v>
                  </c:pt>
                </c:lvl>
              </c:multiLvlStrCache>
            </c:multiLvlStrRef>
          </c:cat>
          <c:val>
            <c:numRef>
              <c:f>'Tabla régimen-actividad JUN'!$B$9:$B$11</c:f>
              <c:numCache>
                <c:formatCode>General</c:formatCode>
                <c:ptCount val="2"/>
                <c:pt idx="0">
                  <c:v>1080</c:v>
                </c:pt>
                <c:pt idx="1">
                  <c:v>4881</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FEDIVALCA</c:v>
                  </c:pt>
                </c:lvl>
              </c:multiLvlStrCache>
            </c:multiLvlStrRef>
          </c:cat>
          <c:val>
            <c:numRef>
              <c:f>'Tabla régimen-actividad JUN'!$C$9:$C$11</c:f>
              <c:numCache>
                <c:formatCode>General</c:formatCode>
                <c:ptCount val="2"/>
                <c:pt idx="0">
                  <c:v>276</c:v>
                </c:pt>
                <c:pt idx="1">
                  <c:v>5782</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FEDIVALCA</c:v>
                  </c:pt>
                </c:lvl>
              </c:multiLvlStrCache>
            </c:multiLvlStrRef>
          </c:cat>
          <c:val>
            <c:numRef>
              <c:f>'Tabla régimen-actividad JUN'!$D$9:$D$11</c:f>
              <c:numCache>
                <c:formatCode>General</c:formatCode>
                <c:ptCount val="2"/>
                <c:pt idx="0">
                  <c:v>421</c:v>
                </c:pt>
                <c:pt idx="1">
                  <c:v>673</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FEDIVALCA</c:v>
                  </c:pt>
                </c:lvl>
              </c:multiLvlStrCache>
            </c:multiLvlStrRef>
          </c:cat>
          <c:val>
            <c:numRef>
              <c:f>'Tabla régimen-actividad JUN'!$E$9:$E$11</c:f>
              <c:numCache>
                <c:formatCode>General</c:formatCode>
                <c:ptCount val="2"/>
                <c:pt idx="0">
                  <c:v>1535</c:v>
                </c:pt>
                <c:pt idx="1">
                  <c:v>5186</c:v>
                </c:pt>
              </c:numCache>
            </c:numRef>
          </c:val>
        </c:ser>
        <c:dLbls>
          <c:showLegendKey val="0"/>
          <c:showVal val="0"/>
          <c:showCatName val="0"/>
          <c:showSerName val="0"/>
          <c:showPercent val="0"/>
          <c:showBubbleSize val="0"/>
        </c:dLbls>
        <c:gapWidth val="150"/>
        <c:shape val="box"/>
        <c:axId val="109568000"/>
        <c:axId val="109486656"/>
        <c:axId val="0"/>
      </c:bar3DChart>
      <c:catAx>
        <c:axId val="109568000"/>
        <c:scaling>
          <c:orientation val="minMax"/>
        </c:scaling>
        <c:delete val="0"/>
        <c:axPos val="b"/>
        <c:majorTickMark val="out"/>
        <c:minorTickMark val="none"/>
        <c:tickLblPos val="nextTo"/>
        <c:crossAx val="109486656"/>
        <c:crosses val="autoZero"/>
        <c:auto val="1"/>
        <c:lblAlgn val="ctr"/>
        <c:lblOffset val="100"/>
        <c:noMultiLvlLbl val="0"/>
      </c:catAx>
      <c:valAx>
        <c:axId val="109486656"/>
        <c:scaling>
          <c:orientation val="minMax"/>
        </c:scaling>
        <c:delete val="0"/>
        <c:axPos val="l"/>
        <c:majorGridlines/>
        <c:numFmt formatCode="General" sourceLinked="1"/>
        <c:majorTickMark val="out"/>
        <c:minorTickMark val="none"/>
        <c:tickLblPos val="nextTo"/>
        <c:crossAx val="109568000"/>
        <c:crosses val="autoZero"/>
        <c:crossBetween val="between"/>
      </c:valAx>
    </c:plotArea>
    <c:legend>
      <c:legendPos val="b"/>
      <c:layout>
        <c:manualLayout>
          <c:xMode val="edge"/>
          <c:yMode val="edge"/>
          <c:x val="0.75508066226570159"/>
          <c:y val="0.21459334356368392"/>
          <c:w val="0.24320567883560007"/>
          <c:h val="0.66959195995069309"/>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0.10001236581420531"/>
          <c:y val="0.11223050992427862"/>
          <c:w val="0.8893764287528575"/>
          <c:h val="0.64368169887854931"/>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FEDIVALCA</c:v>
                  </c:pt>
                </c:lvl>
              </c:multiLvlStrCache>
            </c:multiLvlStrRef>
          </c:cat>
          <c:val>
            <c:numRef>
              <c:f>'Gráfico altas régimen y sexo'!$C$9:$C$12</c:f>
              <c:numCache>
                <c:formatCode>General</c:formatCode>
                <c:ptCount val="2"/>
                <c:pt idx="0">
                  <c:v>3329</c:v>
                </c:pt>
                <c:pt idx="1">
                  <c:v>14710</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FEDIVALCA</c:v>
                  </c:pt>
                </c:lvl>
              </c:multiLvlStrCache>
            </c:multiLvlStrRef>
          </c:cat>
          <c:val>
            <c:numRef>
              <c:f>'Gráfico altas régimen y sexo'!$D$9:$D$12</c:f>
              <c:numCache>
                <c:formatCode>General</c:formatCode>
                <c:ptCount val="2"/>
                <c:pt idx="0">
                  <c:v>2352</c:v>
                </c:pt>
                <c:pt idx="1">
                  <c:v>9780</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FEDIVALCA</c:v>
                  </c:pt>
                </c:lvl>
              </c:multiLvlStrCache>
            </c:multiLvlStrRef>
          </c:cat>
          <c:val>
            <c:numRef>
              <c:f>'Gráfico altas régimen y sexo'!$E$9:$E$12</c:f>
              <c:numCache>
                <c:formatCode>General</c:formatCode>
                <c:ptCount val="2"/>
                <c:pt idx="0">
                  <c:v>977</c:v>
                </c:pt>
                <c:pt idx="1">
                  <c:v>4930</c:v>
                </c:pt>
              </c:numCache>
            </c:numRef>
          </c:val>
        </c:ser>
        <c:dLbls>
          <c:showLegendKey val="0"/>
          <c:showVal val="0"/>
          <c:showCatName val="0"/>
          <c:showSerName val="0"/>
          <c:showPercent val="0"/>
          <c:showBubbleSize val="0"/>
        </c:dLbls>
        <c:gapWidth val="150"/>
        <c:shape val="box"/>
        <c:axId val="109570560"/>
        <c:axId val="109488384"/>
        <c:axId val="0"/>
      </c:bar3DChart>
      <c:catAx>
        <c:axId val="109570560"/>
        <c:scaling>
          <c:orientation val="minMax"/>
        </c:scaling>
        <c:delete val="0"/>
        <c:axPos val="b"/>
        <c:majorTickMark val="out"/>
        <c:minorTickMark val="none"/>
        <c:tickLblPos val="nextTo"/>
        <c:crossAx val="109488384"/>
        <c:crosses val="autoZero"/>
        <c:auto val="1"/>
        <c:lblAlgn val="ctr"/>
        <c:lblOffset val="100"/>
        <c:noMultiLvlLbl val="0"/>
      </c:catAx>
      <c:valAx>
        <c:axId val="109488384"/>
        <c:scaling>
          <c:orientation val="minMax"/>
        </c:scaling>
        <c:delete val="0"/>
        <c:axPos val="l"/>
        <c:majorGridlines/>
        <c:numFmt formatCode="General" sourceLinked="1"/>
        <c:majorTickMark val="out"/>
        <c:minorTickMark val="none"/>
        <c:tickLblPos val="nextTo"/>
        <c:crossAx val="10957056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FEDIVALCA</a:t>
            </a:r>
          </a:p>
        </c:rich>
      </c:tx>
      <c:layout/>
      <c:overlay val="1"/>
    </c:title>
    <c:autoTitleDeleted val="0"/>
    <c:pivotFmts>
      <c:pivotFmt>
        <c:idx val="0"/>
      </c:pivotFmt>
      <c:pivotFmt>
        <c:idx val="1"/>
      </c:pivotFmt>
      <c:pivotFmt>
        <c:idx val="2"/>
      </c:pivotFmt>
    </c:pivotFmts>
    <c:plotArea>
      <c:layout>
        <c:manualLayout>
          <c:layoutTarget val="inner"/>
          <c:xMode val="edge"/>
          <c:yMode val="edge"/>
          <c:x val="9.3298155108106948E-2"/>
          <c:y val="0.11697154214244118"/>
          <c:w val="0.88174721694270974"/>
          <c:h val="0.6842272830847913"/>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44483</c:v>
                </c:pt>
                <c:pt idx="1">
                  <c:v>48687</c:v>
                </c:pt>
                <c:pt idx="2">
                  <c:v>50478</c:v>
                </c:pt>
                <c:pt idx="3">
                  <c:v>49506</c:v>
                </c:pt>
                <c:pt idx="4">
                  <c:v>49653</c:v>
                </c:pt>
                <c:pt idx="5">
                  <c:v>48891</c:v>
                </c:pt>
                <c:pt idx="6">
                  <c:v>44872</c:v>
                </c:pt>
                <c:pt idx="7">
                  <c:v>38976</c:v>
                </c:pt>
                <c:pt idx="8">
                  <c:v>34963</c:v>
                </c:pt>
                <c:pt idx="9">
                  <c:v>32419</c:v>
                </c:pt>
                <c:pt idx="10">
                  <c:v>33996</c:v>
                </c:pt>
                <c:pt idx="11">
                  <c:v>41640</c:v>
                </c:pt>
                <c:pt idx="12">
                  <c:v>41229</c:v>
                </c:pt>
              </c:numCache>
            </c:numRef>
          </c:val>
          <c:smooth val="0"/>
        </c:ser>
        <c:dLbls>
          <c:showLegendKey val="0"/>
          <c:showVal val="0"/>
          <c:showCatName val="0"/>
          <c:showSerName val="0"/>
          <c:showPercent val="0"/>
          <c:showBubbleSize val="0"/>
        </c:dLbls>
        <c:marker val="1"/>
        <c:smooth val="0"/>
        <c:axId val="108363776"/>
        <c:axId val="103801408"/>
      </c:lineChart>
      <c:catAx>
        <c:axId val="108363776"/>
        <c:scaling>
          <c:orientation val="minMax"/>
        </c:scaling>
        <c:delete val="0"/>
        <c:axPos val="b"/>
        <c:majorTickMark val="out"/>
        <c:minorTickMark val="none"/>
        <c:tickLblPos val="nextTo"/>
        <c:crossAx val="103801408"/>
        <c:crosses val="autoZero"/>
        <c:auto val="1"/>
        <c:lblAlgn val="ctr"/>
        <c:lblOffset val="100"/>
        <c:noMultiLvlLbl val="0"/>
      </c:catAx>
      <c:valAx>
        <c:axId val="103801408"/>
        <c:scaling>
          <c:orientation val="minMax"/>
        </c:scaling>
        <c:delete val="0"/>
        <c:axPos val="l"/>
        <c:majorGridlines/>
        <c:numFmt formatCode="General" sourceLinked="1"/>
        <c:majorTickMark val="out"/>
        <c:minorTickMark val="none"/>
        <c:tickLblPos val="nextTo"/>
        <c:crossAx val="108363776"/>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
        <c:idx val="9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103</c:v>
                </c:pt>
                <c:pt idx="1">
                  <c:v>4022</c:v>
                </c:pt>
                <c:pt idx="2">
                  <c:v>5676</c:v>
                </c:pt>
                <c:pt idx="3">
                  <c:v>18647</c:v>
                </c:pt>
                <c:pt idx="4">
                  <c:v>12781</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
        <c:idx val="16"/>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2</c:v>
                </c:pt>
                <c:pt idx="1">
                  <c:v>15</c:v>
                </c:pt>
                <c:pt idx="2">
                  <c:v>8</c:v>
                </c:pt>
                <c:pt idx="3">
                  <c:v>7</c:v>
                </c:pt>
                <c:pt idx="4">
                  <c:v>2</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(FEDIVALCA)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2899818983835967"/>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FEDIVALCA</c:v>
                </c:pt>
              </c:strCache>
            </c:strRef>
          </c:cat>
          <c:val>
            <c:numRef>
              <c:f>'nacimientos grupo'!$B$7:$B$8</c:f>
              <c:numCache>
                <c:formatCode>General</c:formatCode>
                <c:ptCount val="1"/>
                <c:pt idx="0">
                  <c:v>370</c:v>
                </c:pt>
              </c:numCache>
            </c:numRef>
          </c:val>
        </c:ser>
        <c:ser>
          <c:idx val="1"/>
          <c:order val="1"/>
          <c:tx>
            <c:strRef>
              <c:f>'nacimientos grupo'!$C$5:$C$6</c:f>
              <c:strCache>
                <c:ptCount val="1"/>
                <c:pt idx="0">
                  <c:v>Año 2011</c:v>
                </c:pt>
              </c:strCache>
            </c:strRef>
          </c:tx>
          <c:invertIfNegative val="0"/>
          <c:cat>
            <c:strRef>
              <c:f>'nacimientos grupo'!$A$7:$A$8</c:f>
              <c:strCache>
                <c:ptCount val="1"/>
                <c:pt idx="0">
                  <c:v>FEDIVALCA</c:v>
                </c:pt>
              </c:strCache>
            </c:strRef>
          </c:cat>
          <c:val>
            <c:numRef>
              <c:f>'nacimientos grupo'!$C$7:$C$8</c:f>
              <c:numCache>
                <c:formatCode>General</c:formatCode>
                <c:ptCount val="1"/>
                <c:pt idx="0">
                  <c:v>415</c:v>
                </c:pt>
              </c:numCache>
            </c:numRef>
          </c:val>
        </c:ser>
        <c:ser>
          <c:idx val="2"/>
          <c:order val="2"/>
          <c:tx>
            <c:strRef>
              <c:f>'nacimientos grupo'!$D$5:$D$6</c:f>
              <c:strCache>
                <c:ptCount val="1"/>
                <c:pt idx="0">
                  <c:v>Año 2010</c:v>
                </c:pt>
              </c:strCache>
            </c:strRef>
          </c:tx>
          <c:invertIfNegative val="0"/>
          <c:cat>
            <c:strRef>
              <c:f>'nacimientos grupo'!$A$7:$A$8</c:f>
              <c:strCache>
                <c:ptCount val="1"/>
                <c:pt idx="0">
                  <c:v>FEDIVALCA</c:v>
                </c:pt>
              </c:strCache>
            </c:strRef>
          </c:cat>
          <c:val>
            <c:numRef>
              <c:f>'nacimientos grupo'!$D$7:$D$8</c:f>
              <c:numCache>
                <c:formatCode>General</c:formatCode>
                <c:ptCount val="1"/>
                <c:pt idx="0">
                  <c:v>437</c:v>
                </c:pt>
              </c:numCache>
            </c:numRef>
          </c:val>
        </c:ser>
        <c:ser>
          <c:idx val="3"/>
          <c:order val="3"/>
          <c:tx>
            <c:strRef>
              <c:f>'nacimientos grupo'!$E$5:$E$6</c:f>
              <c:strCache>
                <c:ptCount val="1"/>
                <c:pt idx="0">
                  <c:v>Año 2009</c:v>
                </c:pt>
              </c:strCache>
            </c:strRef>
          </c:tx>
          <c:invertIfNegative val="0"/>
          <c:cat>
            <c:strRef>
              <c:f>'nacimientos grupo'!$A$7:$A$8</c:f>
              <c:strCache>
                <c:ptCount val="1"/>
                <c:pt idx="0">
                  <c:v>FEDIVALCA</c:v>
                </c:pt>
              </c:strCache>
            </c:strRef>
          </c:cat>
          <c:val>
            <c:numRef>
              <c:f>'nacimientos grupo'!$E$7:$E$8</c:f>
              <c:numCache>
                <c:formatCode>General</c:formatCode>
                <c:ptCount val="1"/>
                <c:pt idx="0">
                  <c:v>397</c:v>
                </c:pt>
              </c:numCache>
            </c:numRef>
          </c:val>
        </c:ser>
        <c:ser>
          <c:idx val="4"/>
          <c:order val="4"/>
          <c:tx>
            <c:strRef>
              <c:f>'nacimientos grupo'!$F$5:$F$6</c:f>
              <c:strCache>
                <c:ptCount val="1"/>
                <c:pt idx="0">
                  <c:v>Año 2008</c:v>
                </c:pt>
              </c:strCache>
            </c:strRef>
          </c:tx>
          <c:invertIfNegative val="0"/>
          <c:cat>
            <c:strRef>
              <c:f>'nacimientos grupo'!$A$7:$A$8</c:f>
              <c:strCache>
                <c:ptCount val="1"/>
                <c:pt idx="0">
                  <c:v>FEDIVALCA</c:v>
                </c:pt>
              </c:strCache>
            </c:strRef>
          </c:cat>
          <c:val>
            <c:numRef>
              <c:f>'nacimientos grupo'!$F$7:$F$8</c:f>
              <c:numCache>
                <c:formatCode>General</c:formatCode>
                <c:ptCount val="1"/>
                <c:pt idx="0">
                  <c:v>414</c:v>
                </c:pt>
              </c:numCache>
            </c:numRef>
          </c:val>
        </c:ser>
        <c:ser>
          <c:idx val="5"/>
          <c:order val="5"/>
          <c:tx>
            <c:strRef>
              <c:f>'nacimientos grupo'!$G$5:$G$6</c:f>
              <c:strCache>
                <c:ptCount val="1"/>
                <c:pt idx="0">
                  <c:v>Año 2007</c:v>
                </c:pt>
              </c:strCache>
            </c:strRef>
          </c:tx>
          <c:invertIfNegative val="0"/>
          <c:cat>
            <c:strRef>
              <c:f>'nacimientos grupo'!$A$7:$A$8</c:f>
              <c:strCache>
                <c:ptCount val="1"/>
                <c:pt idx="0">
                  <c:v>FEDIVALCA</c:v>
                </c:pt>
              </c:strCache>
            </c:strRef>
          </c:cat>
          <c:val>
            <c:numRef>
              <c:f>'nacimientos grupo'!$G$7:$G$8</c:f>
              <c:numCache>
                <c:formatCode>General</c:formatCode>
                <c:ptCount val="1"/>
                <c:pt idx="0">
                  <c:v>369</c:v>
                </c:pt>
              </c:numCache>
            </c:numRef>
          </c:val>
        </c:ser>
        <c:dLbls>
          <c:showLegendKey val="0"/>
          <c:showVal val="0"/>
          <c:showCatName val="0"/>
          <c:showSerName val="0"/>
          <c:showPercent val="0"/>
          <c:showBubbleSize val="0"/>
        </c:dLbls>
        <c:gapWidth val="150"/>
        <c:shape val="cylinder"/>
        <c:axId val="108366336"/>
        <c:axId val="103805440"/>
        <c:axId val="0"/>
      </c:bar3DChart>
      <c:catAx>
        <c:axId val="108366336"/>
        <c:scaling>
          <c:orientation val="minMax"/>
        </c:scaling>
        <c:delete val="0"/>
        <c:axPos val="b"/>
        <c:majorTickMark val="out"/>
        <c:minorTickMark val="none"/>
        <c:tickLblPos val="nextTo"/>
        <c:crossAx val="103805440"/>
        <c:crosses val="autoZero"/>
        <c:auto val="1"/>
        <c:lblAlgn val="ctr"/>
        <c:lblOffset val="100"/>
        <c:noMultiLvlLbl val="0"/>
      </c:catAx>
      <c:valAx>
        <c:axId val="103805440"/>
        <c:scaling>
          <c:orientation val="minMax"/>
        </c:scaling>
        <c:delete val="0"/>
        <c:axPos val="l"/>
        <c:majorGridlines/>
        <c:numFmt formatCode="General" sourceLinked="1"/>
        <c:majorTickMark val="out"/>
        <c:minorTickMark val="none"/>
        <c:tickLblPos val="nextTo"/>
        <c:crossAx val="10836633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(FEDIVALCA)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227865431294773E-2"/>
          <c:y val="0.13487808797419487"/>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FEDIVALCA</c:v>
                </c:pt>
              </c:strCache>
            </c:strRef>
          </c:cat>
          <c:val>
            <c:numRef>
              <c:f>'defunciones grupo'!$B$7:$B$8</c:f>
              <c:numCache>
                <c:formatCode>General</c:formatCode>
                <c:ptCount val="1"/>
                <c:pt idx="0">
                  <c:v>465</c:v>
                </c:pt>
              </c:numCache>
            </c:numRef>
          </c:val>
        </c:ser>
        <c:ser>
          <c:idx val="1"/>
          <c:order val="1"/>
          <c:tx>
            <c:strRef>
              <c:f>'defunciones grupo'!$C$5:$C$6</c:f>
              <c:strCache>
                <c:ptCount val="1"/>
                <c:pt idx="0">
                  <c:v>Año 2011</c:v>
                </c:pt>
              </c:strCache>
            </c:strRef>
          </c:tx>
          <c:invertIfNegative val="0"/>
          <c:cat>
            <c:strRef>
              <c:f>'defunciones grupo'!$A$7:$A$8</c:f>
              <c:strCache>
                <c:ptCount val="1"/>
                <c:pt idx="0">
                  <c:v>FEDIVALCA</c:v>
                </c:pt>
              </c:strCache>
            </c:strRef>
          </c:cat>
          <c:val>
            <c:numRef>
              <c:f>'defunciones grupo'!$C$7:$C$8</c:f>
              <c:numCache>
                <c:formatCode>General</c:formatCode>
                <c:ptCount val="1"/>
                <c:pt idx="0">
                  <c:v>475</c:v>
                </c:pt>
              </c:numCache>
            </c:numRef>
          </c:val>
        </c:ser>
        <c:ser>
          <c:idx val="2"/>
          <c:order val="2"/>
          <c:tx>
            <c:strRef>
              <c:f>'defunciones grupo'!$D$5:$D$6</c:f>
              <c:strCache>
                <c:ptCount val="1"/>
                <c:pt idx="0">
                  <c:v>Año 2010</c:v>
                </c:pt>
              </c:strCache>
            </c:strRef>
          </c:tx>
          <c:invertIfNegative val="0"/>
          <c:cat>
            <c:strRef>
              <c:f>'defunciones grupo'!$A$7:$A$8</c:f>
              <c:strCache>
                <c:ptCount val="1"/>
                <c:pt idx="0">
                  <c:v>FEDIVALCA</c:v>
                </c:pt>
              </c:strCache>
            </c:strRef>
          </c:cat>
          <c:val>
            <c:numRef>
              <c:f>'defunciones grupo'!$D$7:$D$8</c:f>
              <c:numCache>
                <c:formatCode>General</c:formatCode>
                <c:ptCount val="1"/>
                <c:pt idx="0">
                  <c:v>450</c:v>
                </c:pt>
              </c:numCache>
            </c:numRef>
          </c:val>
        </c:ser>
        <c:ser>
          <c:idx val="3"/>
          <c:order val="3"/>
          <c:tx>
            <c:strRef>
              <c:f>'defunciones grupo'!$E$5:$E$6</c:f>
              <c:strCache>
                <c:ptCount val="1"/>
                <c:pt idx="0">
                  <c:v>Año 2009</c:v>
                </c:pt>
              </c:strCache>
            </c:strRef>
          </c:tx>
          <c:invertIfNegative val="0"/>
          <c:cat>
            <c:strRef>
              <c:f>'defunciones grupo'!$A$7:$A$8</c:f>
              <c:strCache>
                <c:ptCount val="1"/>
                <c:pt idx="0">
                  <c:v>FEDIVALCA</c:v>
                </c:pt>
              </c:strCache>
            </c:strRef>
          </c:cat>
          <c:val>
            <c:numRef>
              <c:f>'defunciones grupo'!$E$7:$E$8</c:f>
              <c:numCache>
                <c:formatCode>General</c:formatCode>
                <c:ptCount val="1"/>
                <c:pt idx="0">
                  <c:v>456</c:v>
                </c:pt>
              </c:numCache>
            </c:numRef>
          </c:val>
        </c:ser>
        <c:ser>
          <c:idx val="4"/>
          <c:order val="4"/>
          <c:tx>
            <c:strRef>
              <c:f>'defunciones grupo'!$F$5:$F$6</c:f>
              <c:strCache>
                <c:ptCount val="1"/>
                <c:pt idx="0">
                  <c:v>Año 2008</c:v>
                </c:pt>
              </c:strCache>
            </c:strRef>
          </c:tx>
          <c:invertIfNegative val="0"/>
          <c:cat>
            <c:strRef>
              <c:f>'defunciones grupo'!$A$7:$A$8</c:f>
              <c:strCache>
                <c:ptCount val="1"/>
                <c:pt idx="0">
                  <c:v>FEDIVALCA</c:v>
                </c:pt>
              </c:strCache>
            </c:strRef>
          </c:cat>
          <c:val>
            <c:numRef>
              <c:f>'defunciones grupo'!$F$7:$F$8</c:f>
              <c:numCache>
                <c:formatCode>General</c:formatCode>
                <c:ptCount val="1"/>
                <c:pt idx="0">
                  <c:v>429</c:v>
                </c:pt>
              </c:numCache>
            </c:numRef>
          </c:val>
        </c:ser>
        <c:ser>
          <c:idx val="5"/>
          <c:order val="5"/>
          <c:tx>
            <c:strRef>
              <c:f>'defunciones grupo'!$G$5:$G$6</c:f>
              <c:strCache>
                <c:ptCount val="1"/>
                <c:pt idx="0">
                  <c:v>Año 2007</c:v>
                </c:pt>
              </c:strCache>
            </c:strRef>
          </c:tx>
          <c:invertIfNegative val="0"/>
          <c:cat>
            <c:strRef>
              <c:f>'defunciones grupo'!$A$7:$A$8</c:f>
              <c:strCache>
                <c:ptCount val="1"/>
                <c:pt idx="0">
                  <c:v>FEDIVALCA</c:v>
                </c:pt>
              </c:strCache>
            </c:strRef>
          </c:cat>
          <c:val>
            <c:numRef>
              <c:f>'defunciones grupo'!$G$7:$G$8</c:f>
              <c:numCache>
                <c:formatCode>General</c:formatCode>
                <c:ptCount val="1"/>
                <c:pt idx="0">
                  <c:v>449</c:v>
                </c:pt>
              </c:numCache>
            </c:numRef>
          </c:val>
        </c:ser>
        <c:ser>
          <c:idx val="6"/>
          <c:order val="6"/>
          <c:tx>
            <c:strRef>
              <c:f>'defunciones grupo'!$H$5:$H$6</c:f>
              <c:strCache>
                <c:ptCount val="1"/>
                <c:pt idx="0">
                  <c:v>Año 2006</c:v>
                </c:pt>
              </c:strCache>
            </c:strRef>
          </c:tx>
          <c:invertIfNegative val="0"/>
          <c:cat>
            <c:strRef>
              <c:f>'defunciones grupo'!$A$7:$A$8</c:f>
              <c:strCache>
                <c:ptCount val="1"/>
                <c:pt idx="0">
                  <c:v>FEDIVALCA</c:v>
                </c:pt>
              </c:strCache>
            </c:strRef>
          </c:cat>
          <c:val>
            <c:numRef>
              <c:f>'defunciones grupo'!$H$7:$H$8</c:f>
              <c:numCache>
                <c:formatCode>General</c:formatCode>
                <c:ptCount val="1"/>
                <c:pt idx="0">
                  <c:v>472</c:v>
                </c:pt>
              </c:numCache>
            </c:numRef>
          </c:val>
        </c:ser>
        <c:dLbls>
          <c:showLegendKey val="0"/>
          <c:showVal val="0"/>
          <c:showCatName val="0"/>
          <c:showSerName val="0"/>
          <c:showPercent val="0"/>
          <c:showBubbleSize val="0"/>
        </c:dLbls>
        <c:gapWidth val="150"/>
        <c:shape val="cylinder"/>
        <c:axId val="109097472"/>
        <c:axId val="103807168"/>
        <c:axId val="0"/>
      </c:bar3DChart>
      <c:catAx>
        <c:axId val="109097472"/>
        <c:scaling>
          <c:orientation val="minMax"/>
        </c:scaling>
        <c:delete val="0"/>
        <c:axPos val="b"/>
        <c:majorTickMark val="out"/>
        <c:minorTickMark val="none"/>
        <c:tickLblPos val="nextTo"/>
        <c:crossAx val="103807168"/>
        <c:crosses val="autoZero"/>
        <c:auto val="1"/>
        <c:lblAlgn val="ctr"/>
        <c:lblOffset val="100"/>
        <c:noMultiLvlLbl val="0"/>
      </c:catAx>
      <c:valAx>
        <c:axId val="103807168"/>
        <c:scaling>
          <c:orientation val="minMax"/>
        </c:scaling>
        <c:delete val="0"/>
        <c:axPos val="l"/>
        <c:majorGridlines/>
        <c:numFmt formatCode="General" sourceLinked="1"/>
        <c:majorTickMark val="out"/>
        <c:minorTickMark val="none"/>
        <c:tickLblPos val="nextTo"/>
        <c:crossAx val="10909747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0.10116500651234385"/>
          <c:y val="0.10722825043211062"/>
          <c:w val="0.88943649724705465"/>
          <c:h val="0.69391724281416045"/>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FEDIVALCA</c:v>
                </c:pt>
              </c:strCache>
            </c:strRef>
          </c:cat>
          <c:val>
            <c:numRef>
              <c:f>'variación residencia grupo'!$B$7:$B$8</c:f>
              <c:numCache>
                <c:formatCode>General</c:formatCode>
                <c:ptCount val="1"/>
                <c:pt idx="0">
                  <c:v>-304</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FEDIVALCA</c:v>
                </c:pt>
              </c:strCache>
            </c:strRef>
          </c:cat>
          <c:val>
            <c:numRef>
              <c:f>'variación residencia grupo'!$C$7:$C$8</c:f>
              <c:numCache>
                <c:formatCode>General</c:formatCode>
                <c:ptCount val="1"/>
                <c:pt idx="0">
                  <c:v>-308</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FEDIVALCA</c:v>
                </c:pt>
              </c:strCache>
            </c:strRef>
          </c:cat>
          <c:val>
            <c:numRef>
              <c:f>'variación residencia grupo'!$D$7:$D$8</c:f>
              <c:numCache>
                <c:formatCode>General</c:formatCode>
                <c:ptCount val="1"/>
                <c:pt idx="0">
                  <c:v>-330</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FEDIVALCA</c:v>
                </c:pt>
              </c:strCache>
            </c:strRef>
          </c:cat>
          <c:val>
            <c:numRef>
              <c:f>'variación residencia grupo'!$E$7:$E$8</c:f>
              <c:numCache>
                <c:formatCode>General</c:formatCode>
                <c:ptCount val="1"/>
                <c:pt idx="0">
                  <c:v>-371</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FEDIVALCA</c:v>
                </c:pt>
              </c:strCache>
            </c:strRef>
          </c:cat>
          <c:val>
            <c:numRef>
              <c:f>'variación residencia grupo'!$F$7:$F$8</c:f>
              <c:numCache>
                <c:formatCode>General</c:formatCode>
                <c:ptCount val="1"/>
                <c:pt idx="0">
                  <c:v>335</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FEDIVALCA</c:v>
                </c:pt>
              </c:strCache>
            </c:strRef>
          </c:cat>
          <c:val>
            <c:numRef>
              <c:f>'variación residencia grupo'!$G$7:$G$8</c:f>
              <c:numCache>
                <c:formatCode>General</c:formatCode>
                <c:ptCount val="1"/>
                <c:pt idx="0">
                  <c:v>1187</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FEDIVALCA</c:v>
                </c:pt>
              </c:strCache>
            </c:strRef>
          </c:cat>
          <c:val>
            <c:numRef>
              <c:f>'variación residencia grupo'!$H$7:$H$8</c:f>
              <c:numCache>
                <c:formatCode>General</c:formatCode>
                <c:ptCount val="1"/>
                <c:pt idx="0">
                  <c:v>2102</c:v>
                </c:pt>
              </c:numCache>
            </c:numRef>
          </c:val>
        </c:ser>
        <c:dLbls>
          <c:showLegendKey val="0"/>
          <c:showVal val="0"/>
          <c:showCatName val="0"/>
          <c:showSerName val="0"/>
          <c:showPercent val="0"/>
          <c:showBubbleSize val="0"/>
        </c:dLbls>
        <c:gapWidth val="150"/>
        <c:shape val="cylinder"/>
        <c:axId val="109097984"/>
        <c:axId val="109379584"/>
        <c:axId val="0"/>
      </c:bar3DChart>
      <c:catAx>
        <c:axId val="109097984"/>
        <c:scaling>
          <c:orientation val="minMax"/>
        </c:scaling>
        <c:delete val="0"/>
        <c:axPos val="b"/>
        <c:majorTickMark val="out"/>
        <c:minorTickMark val="none"/>
        <c:tickLblPos val="low"/>
        <c:crossAx val="109379584"/>
        <c:crosses val="autoZero"/>
        <c:auto val="1"/>
        <c:lblAlgn val="ctr"/>
        <c:lblOffset val="100"/>
        <c:noMultiLvlLbl val="0"/>
      </c:catAx>
      <c:valAx>
        <c:axId val="109379584"/>
        <c:scaling>
          <c:orientation val="minMax"/>
        </c:scaling>
        <c:delete val="0"/>
        <c:axPos val="l"/>
        <c:majorGridlines/>
        <c:numFmt formatCode="General" sourceLinked="1"/>
        <c:majorTickMark val="out"/>
        <c:minorTickMark val="none"/>
        <c:tickLblPos val="nextTo"/>
        <c:crossAx val="109097984"/>
        <c:crosses val="autoZero"/>
        <c:crossBetween val="between"/>
      </c:valAx>
    </c:plotArea>
    <c:legend>
      <c:legendPos val="b"/>
      <c:layout>
        <c:manualLayout>
          <c:xMode val="edge"/>
          <c:yMode val="edge"/>
          <c:x val="4.2951127819548872E-2"/>
          <c:y val="0.86280007681966564"/>
          <c:w val="0.9"/>
          <c:h val="8.3101624015748027E-2"/>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FEDIVALCA</c:v>
                </c:pt>
              </c:strCache>
            </c:strRef>
          </c:cat>
          <c:val>
            <c:numRef>
              <c:f>'Tabla porcentajes 2012'!$B$9:$B$10</c:f>
              <c:numCache>
                <c:formatCode>0.0000%</c:formatCode>
                <c:ptCount val="1"/>
                <c:pt idx="0">
                  <c:v>3.4473887316696684E-2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FEDIVALCA</c:v>
                </c:pt>
              </c:strCache>
            </c:strRef>
          </c:cat>
          <c:val>
            <c:numRef>
              <c:f>'Tabla porcentajes 2012'!$C$9:$C$10</c:f>
              <c:numCache>
                <c:formatCode>0.0000%</c:formatCode>
                <c:ptCount val="1"/>
                <c:pt idx="0">
                  <c:v>4.7856806406029212E-2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FEDIVALCA</c:v>
                </c:pt>
              </c:strCache>
            </c:strRef>
          </c:cat>
          <c:val>
            <c:numRef>
              <c:f>'Tabla porcentajes 2012'!$D$9:$D$10</c:f>
              <c:numCache>
                <c:formatCode>0.0000%</c:formatCode>
                <c:ptCount val="1"/>
                <c:pt idx="0">
                  <c:v>7.461476074614759E-2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FEDIVALCA</c:v>
                </c:pt>
              </c:strCache>
            </c:strRef>
          </c:cat>
          <c:val>
            <c:numRef>
              <c:f>'Tabla porcentajes 2012'!$E$9:$E$10</c:f>
              <c:numCache>
                <c:formatCode>0.0000%</c:formatCode>
                <c:ptCount val="1"/>
                <c:pt idx="0">
                  <c:v>2.9882972751219931E-2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FEDIVALCA</c:v>
                </c:pt>
              </c:strCache>
            </c:strRef>
          </c:cat>
          <c:val>
            <c:numRef>
              <c:f>'Tabla porcentajes 2012'!$F$9:$F$10</c:f>
              <c:numCache>
                <c:formatCode>0.0000%</c:formatCode>
                <c:ptCount val="1"/>
                <c:pt idx="0">
                  <c:v>2.4936571794405674E-2</c:v>
                </c:pt>
              </c:numCache>
            </c:numRef>
          </c:val>
        </c:ser>
        <c:dLbls>
          <c:showLegendKey val="0"/>
          <c:showVal val="0"/>
          <c:showCatName val="0"/>
          <c:showSerName val="0"/>
          <c:showPercent val="0"/>
          <c:showBubbleSize val="0"/>
        </c:dLbls>
        <c:gapWidth val="150"/>
        <c:shape val="box"/>
        <c:axId val="109099520"/>
        <c:axId val="109381312"/>
        <c:axId val="0"/>
      </c:bar3DChart>
      <c:catAx>
        <c:axId val="109099520"/>
        <c:scaling>
          <c:orientation val="minMax"/>
        </c:scaling>
        <c:delete val="0"/>
        <c:axPos val="b"/>
        <c:majorTickMark val="out"/>
        <c:minorTickMark val="none"/>
        <c:tickLblPos val="nextTo"/>
        <c:crossAx val="109381312"/>
        <c:crosses val="autoZero"/>
        <c:auto val="1"/>
        <c:lblAlgn val="ctr"/>
        <c:lblOffset val="100"/>
        <c:noMultiLvlLbl val="0"/>
      </c:catAx>
      <c:valAx>
        <c:axId val="109381312"/>
        <c:scaling>
          <c:orientation val="minMax"/>
        </c:scaling>
        <c:delete val="0"/>
        <c:axPos val="l"/>
        <c:majorGridlines/>
        <c:numFmt formatCode="0.00%" sourceLinked="0"/>
        <c:majorTickMark val="out"/>
        <c:minorTickMark val="none"/>
        <c:tickLblPos val="nextTo"/>
        <c:crossAx val="109099520"/>
        <c:crosses val="autoZero"/>
        <c:crossBetween val="between"/>
      </c:valAx>
    </c:plotArea>
    <c:legend>
      <c:legendPos val="b"/>
      <c:layout>
        <c:manualLayout>
          <c:xMode val="edge"/>
          <c:yMode val="edge"/>
          <c:x val="0.7196151056775798"/>
          <c:y val="4.9312027960790615E-2"/>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FEDIVALCA</c:v>
                </c:pt>
              </c:strCache>
            </c:strRef>
          </c:cat>
          <c:val>
            <c:numRef>
              <c:f>'Tabla evolucion 2012-2011'!$B$9</c:f>
              <c:numCache>
                <c:formatCode>General</c:formatCode>
                <c:ptCount val="1"/>
                <c:pt idx="0">
                  <c:v>-12</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FEDIVALCA</c:v>
                </c:pt>
              </c:strCache>
            </c:strRef>
          </c:cat>
          <c:val>
            <c:numRef>
              <c:f>'Tabla evolucion 2012-2011'!$C$9</c:f>
              <c:numCache>
                <c:formatCode>General</c:formatCode>
                <c:ptCount val="1"/>
                <c:pt idx="0">
                  <c:v>-59</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FEDIVALCA</c:v>
                </c:pt>
              </c:strCache>
            </c:strRef>
          </c:cat>
          <c:val>
            <c:numRef>
              <c:f>'Tabla evolucion 2012-2011'!$D$9</c:f>
              <c:numCache>
                <c:formatCode>General</c:formatCode>
                <c:ptCount val="1"/>
                <c:pt idx="0">
                  <c:v>-17</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FEDIVALCA</c:v>
                </c:pt>
              </c:strCache>
            </c:strRef>
          </c:cat>
          <c:val>
            <c:numRef>
              <c:f>'Tabla evolucion 2012-2011'!$E$9</c:f>
              <c:numCache>
                <c:formatCode>General</c:formatCode>
                <c:ptCount val="1"/>
                <c:pt idx="0">
                  <c:v>-150</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FEDIVALCA</c:v>
                </c:pt>
              </c:strCache>
            </c:strRef>
          </c:cat>
          <c:val>
            <c:numRef>
              <c:f>'Tabla evolucion 2012-2011'!$F$9</c:f>
              <c:numCache>
                <c:formatCode>General</c:formatCode>
                <c:ptCount val="1"/>
                <c:pt idx="0">
                  <c:v>-246</c:v>
                </c:pt>
              </c:numCache>
            </c:numRef>
          </c:val>
        </c:ser>
        <c:dLbls>
          <c:showLegendKey val="0"/>
          <c:showVal val="0"/>
          <c:showCatName val="0"/>
          <c:showSerName val="0"/>
          <c:showPercent val="0"/>
          <c:showBubbleSize val="0"/>
        </c:dLbls>
        <c:gapWidth val="150"/>
        <c:shape val="box"/>
        <c:axId val="109100032"/>
        <c:axId val="109383040"/>
        <c:axId val="0"/>
      </c:bar3DChart>
      <c:catAx>
        <c:axId val="109100032"/>
        <c:scaling>
          <c:orientation val="minMax"/>
        </c:scaling>
        <c:delete val="0"/>
        <c:axPos val="b"/>
        <c:majorTickMark val="out"/>
        <c:minorTickMark val="none"/>
        <c:tickLblPos val="low"/>
        <c:crossAx val="109383040"/>
        <c:crosses val="autoZero"/>
        <c:auto val="1"/>
        <c:lblAlgn val="ctr"/>
        <c:lblOffset val="100"/>
        <c:noMultiLvlLbl val="0"/>
      </c:catAx>
      <c:valAx>
        <c:axId val="109383040"/>
        <c:scaling>
          <c:orientation val="minMax"/>
        </c:scaling>
        <c:delete val="0"/>
        <c:axPos val="l"/>
        <c:majorGridlines/>
        <c:numFmt formatCode="General" sourceLinked="1"/>
        <c:majorTickMark val="out"/>
        <c:minorTickMark val="none"/>
        <c:tickLblPos val="nextTo"/>
        <c:crossAx val="109100032"/>
        <c:crosses val="autoZero"/>
        <c:crossBetween val="between"/>
      </c:valAx>
    </c:plotArea>
    <c:legend>
      <c:legendPos val="b"/>
      <c:layout>
        <c:manualLayout>
          <c:xMode val="edge"/>
          <c:yMode val="edge"/>
          <c:x val="0.73557919621749424"/>
          <c:y val="4.2531042785662804E-2"/>
          <c:w val="0.22899916156313793"/>
          <c:h val="0.8368290411377571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1785,35km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23,09</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3C0B703A-5C40-43F3-B99F-57913B78C24A}" type="presOf" srcId="{F52A5D61-5B52-41D6-82AD-1AB126421323}" destId="{A37BC357-048C-4C8A-9C7C-39AAB06E79AE}" srcOrd="1" destOrd="0" presId="urn:microsoft.com/office/officeart/2005/8/layout/hList9"/>
    <dgm:cxn modelId="{069A1650-FD96-4D40-B9FD-D56047485346}" type="presOf" srcId="{F52A5D61-5B52-41D6-82AD-1AB126421323}" destId="{53641B60-3D2A-48DF-8978-B44702B50950}"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693D0B73-D470-4F22-9BE9-19EBB169C78F}" type="presOf" srcId="{DC8F0761-D699-4726-9FCA-759596682644}" destId="{DACECD24-1E16-43E4-80BE-26CFAFDBDD5C}" srcOrd="1" destOrd="0" presId="urn:microsoft.com/office/officeart/2005/8/layout/hList9"/>
    <dgm:cxn modelId="{F23661FA-D4D5-4F66-9766-BE013364C55A}" srcId="{5A345620-AAE9-43AC-BFA5-7DCF838F6E6A}" destId="{DC8F0761-D699-4726-9FCA-759596682644}" srcOrd="0" destOrd="0" parTransId="{BCF338E4-6CE5-47FC-8844-97E4499475F5}" sibTransId="{3D522E44-48E3-4E26-A847-8B9E2C2F175D}"/>
    <dgm:cxn modelId="{90F68973-DCA5-4D30-8B88-080E2D652007}" type="presOf" srcId="{8A25AA0E-05A3-48A4-9066-D86732F11EE6}" destId="{575C1222-BBA2-426D-9CA7-C61006236803}" srcOrd="0" destOrd="0" presId="urn:microsoft.com/office/officeart/2005/8/layout/hList9"/>
    <dgm:cxn modelId="{DCAD3BDA-1777-4246-88A8-F625D56DD1E7}" type="presOf" srcId="{18A8730F-81C8-4E32-8AFC-F641D9564C32}" destId="{E62352AE-7A92-409B-A693-FF5F5F371E72}" srcOrd="0" destOrd="0" presId="urn:microsoft.com/office/officeart/2005/8/layout/hList9"/>
    <dgm:cxn modelId="{D35EF56F-DCF0-4294-A62B-FC53F5CF012B}" type="presOf" srcId="{DC8F0761-D699-4726-9FCA-759596682644}" destId="{7E56BCF3-9CB5-4F8B-BE2F-0C63200680D4}" srcOrd="0" destOrd="0" presId="urn:microsoft.com/office/officeart/2005/8/layout/hList9"/>
    <dgm:cxn modelId="{D5DF7F3F-0D04-40E8-AF82-44A5AEF78BB2}" type="presOf" srcId="{5A345620-AAE9-43AC-BFA5-7DCF838F6E6A}" destId="{BF6713A8-036E-43D7-9142-70FA401CC8E0}"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0A6FAA3A-CE67-4E92-97DC-B2E2C0BDF353}" type="presParOf" srcId="{E62352AE-7A92-409B-A693-FF5F5F371E72}" destId="{601C966D-3AF6-4118-B620-1E3EFBE740C9}" srcOrd="0" destOrd="0" presId="urn:microsoft.com/office/officeart/2005/8/layout/hList9"/>
    <dgm:cxn modelId="{51F7C24F-206B-4F58-B24A-4C1F9004A3AF}" type="presParOf" srcId="{E62352AE-7A92-409B-A693-FF5F5F371E72}" destId="{F36D099F-EEB4-4F98-872E-B1D06C65E133}" srcOrd="1" destOrd="0" presId="urn:microsoft.com/office/officeart/2005/8/layout/hList9"/>
    <dgm:cxn modelId="{553F4244-CFC9-4E3F-BE7B-8F44EFAE28BD}" type="presParOf" srcId="{F36D099F-EEB4-4F98-872E-B1D06C65E133}" destId="{DB5C4403-791E-4B02-859B-EC3F5B33D810}" srcOrd="0" destOrd="0" presId="urn:microsoft.com/office/officeart/2005/8/layout/hList9"/>
    <dgm:cxn modelId="{4683EB21-6FBF-4830-90BE-FF1120D2B057}" type="presParOf" srcId="{F36D099F-EEB4-4F98-872E-B1D06C65E133}" destId="{8F52367C-0189-4D38-8029-7D76FCD93C77}" srcOrd="1" destOrd="0" presId="urn:microsoft.com/office/officeart/2005/8/layout/hList9"/>
    <dgm:cxn modelId="{ECCD18D1-D01E-494F-8614-A8704DE5BAF2}" type="presParOf" srcId="{8F52367C-0189-4D38-8029-7D76FCD93C77}" destId="{7E56BCF3-9CB5-4F8B-BE2F-0C63200680D4}" srcOrd="0" destOrd="0" presId="urn:microsoft.com/office/officeart/2005/8/layout/hList9"/>
    <dgm:cxn modelId="{65DBF1B2-4B64-4155-BC82-42EED0E9B5CB}" type="presParOf" srcId="{8F52367C-0189-4D38-8029-7D76FCD93C77}" destId="{DACECD24-1E16-43E4-80BE-26CFAFDBDD5C}" srcOrd="1" destOrd="0" presId="urn:microsoft.com/office/officeart/2005/8/layout/hList9"/>
    <dgm:cxn modelId="{2F7A633A-3AC2-4849-8916-50DFB3EE958C}" type="presParOf" srcId="{E62352AE-7A92-409B-A693-FF5F5F371E72}" destId="{5246FFAB-65CC-4258-8CBF-5E13D423474C}" srcOrd="2" destOrd="0" presId="urn:microsoft.com/office/officeart/2005/8/layout/hList9"/>
    <dgm:cxn modelId="{930EB3F5-E10A-48F2-AA2E-53B5796097C2}" type="presParOf" srcId="{E62352AE-7A92-409B-A693-FF5F5F371E72}" destId="{BF6713A8-036E-43D7-9142-70FA401CC8E0}" srcOrd="3" destOrd="0" presId="urn:microsoft.com/office/officeart/2005/8/layout/hList9"/>
    <dgm:cxn modelId="{A1236A5E-5A4D-47F3-A1F1-FD1CF9C9D0E7}" type="presParOf" srcId="{E62352AE-7A92-409B-A693-FF5F5F371E72}" destId="{FB6E445D-BFE8-4AE0-9399-C0EECE766FC0}" srcOrd="4" destOrd="0" presId="urn:microsoft.com/office/officeart/2005/8/layout/hList9"/>
    <dgm:cxn modelId="{31C53931-A30D-4E58-93F3-98AACBA75F73}" type="presParOf" srcId="{E62352AE-7A92-409B-A693-FF5F5F371E72}" destId="{99EAC4E4-9F15-4285-B02D-55B2D929CDCE}" srcOrd="5" destOrd="0" presId="urn:microsoft.com/office/officeart/2005/8/layout/hList9"/>
    <dgm:cxn modelId="{C1F6163C-AB36-40A5-BEA7-CB167B6C0E0D}" type="presParOf" srcId="{E62352AE-7A92-409B-A693-FF5F5F371E72}" destId="{C29BD979-117A-4098-82FD-CF9E1B668D9D}" srcOrd="6" destOrd="0" presId="urn:microsoft.com/office/officeart/2005/8/layout/hList9"/>
    <dgm:cxn modelId="{36B23A9A-4E75-49FC-8398-9EED5A484AB4}" type="presParOf" srcId="{C29BD979-117A-4098-82FD-CF9E1B668D9D}" destId="{A6CEB835-8B0C-4E1D-9DF6-36136D68911F}" srcOrd="0" destOrd="0" presId="urn:microsoft.com/office/officeart/2005/8/layout/hList9"/>
    <dgm:cxn modelId="{2064CF10-C962-43AA-BF5A-2516ECF0E10F}" type="presParOf" srcId="{C29BD979-117A-4098-82FD-CF9E1B668D9D}" destId="{43FC3AB4-C3DD-4D28-BDA2-12470C5C44D6}" srcOrd="1" destOrd="0" presId="urn:microsoft.com/office/officeart/2005/8/layout/hList9"/>
    <dgm:cxn modelId="{114EE88B-0527-4F5F-8B6C-49271C67EEB2}" type="presParOf" srcId="{43FC3AB4-C3DD-4D28-BDA2-12470C5C44D6}" destId="{53641B60-3D2A-48DF-8978-B44702B50950}" srcOrd="0" destOrd="0" presId="urn:microsoft.com/office/officeart/2005/8/layout/hList9"/>
    <dgm:cxn modelId="{773D17E0-4217-438B-AC4E-FEE64E593D0F}" type="presParOf" srcId="{43FC3AB4-C3DD-4D28-BDA2-12470C5C44D6}" destId="{A37BC357-048C-4C8A-9C7C-39AAB06E79AE}" srcOrd="1" destOrd="0" presId="urn:microsoft.com/office/officeart/2005/8/layout/hList9"/>
    <dgm:cxn modelId="{3BAC945B-71BD-4389-9DF5-12FBA447B1E6}" type="presParOf" srcId="{E62352AE-7A92-409B-A693-FF5F5F371E72}" destId="{8196E043-9A47-465E-9AB6-9778260CB821}" srcOrd="7" destOrd="0" presId="urn:microsoft.com/office/officeart/2005/8/layout/hList9"/>
    <dgm:cxn modelId="{BBB012CB-CA75-4F37-A931-9FABA362A917}"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1785,35km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23,09</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0D94F0-2F0A-4C6B-9D45-10F3BC0A7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24</Pages>
  <Words>1834</Words>
  <Characters>10087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Caracterización territorial de (CEDESOR)</vt:lpstr>
    </vt:vector>
  </TitlesOfParts>
  <Company/>
  <LinksUpToDate>false</LinksUpToDate>
  <CharactersWithSpaces>11898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Valdejalón y Campo de Cariñena. Federación para el Desarrollo Integral de Valdejalón y Campo de Cariñena (Fedivalca)</dc:title>
  <dc:subject/>
  <dc:creator>miriam escorza torrijos</dc:creator>
  <cp:keywords/>
  <dc:description/>
  <cp:lastModifiedBy>miriam escorza torrijos</cp:lastModifiedBy>
  <cp:revision>261</cp:revision>
  <dcterms:created xsi:type="dcterms:W3CDTF">2014-12-16T11:01:00Z</dcterms:created>
  <dcterms:modified xsi:type="dcterms:W3CDTF">2015-02-19T10:55:00Z</dcterms:modified>
</cp:coreProperties>
</file>