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A47" w:rsidRDefault="00BA2A47" w:rsidP="00BA2A47">
      <w:pPr>
        <w:jc w:val="center"/>
        <w:rPr>
          <w:rFonts w:ascii="Arial" w:hAnsi="Arial" w:cs="Arial"/>
          <w:bCs/>
          <w:sz w:val="22"/>
          <w:szCs w:val="22"/>
        </w:rPr>
      </w:pPr>
      <w:r w:rsidRPr="00A807C8">
        <w:rPr>
          <w:rFonts w:ascii="Arial" w:hAnsi="Arial" w:cs="Arial"/>
          <w:bCs/>
          <w:sz w:val="22"/>
          <w:szCs w:val="22"/>
        </w:rPr>
        <w:t>A</w:t>
      </w:r>
      <w:r>
        <w:rPr>
          <w:rFonts w:ascii="Arial" w:hAnsi="Arial" w:cs="Arial"/>
          <w:bCs/>
          <w:sz w:val="22"/>
          <w:szCs w:val="22"/>
        </w:rPr>
        <w:t>NEXO</w:t>
      </w:r>
      <w:r w:rsidRPr="00A807C8">
        <w:rPr>
          <w:rFonts w:ascii="Arial" w:hAnsi="Arial" w:cs="Arial"/>
          <w:bCs/>
          <w:sz w:val="22"/>
          <w:szCs w:val="22"/>
        </w:rPr>
        <w:t xml:space="preserve"> II</w:t>
      </w:r>
    </w:p>
    <w:p w:rsidR="00BA2A47" w:rsidRDefault="00BA2A47" w:rsidP="00BA2A47">
      <w:pPr>
        <w:jc w:val="center"/>
        <w:rPr>
          <w:rFonts w:ascii="Arial" w:hAnsi="Arial" w:cs="Arial"/>
          <w:b/>
          <w:bCs/>
          <w:sz w:val="22"/>
          <w:szCs w:val="22"/>
        </w:rPr>
      </w:pPr>
      <w:r>
        <w:rPr>
          <w:rFonts w:ascii="Arial" w:hAnsi="Arial" w:cs="Arial"/>
          <w:b/>
          <w:bCs/>
          <w:sz w:val="22"/>
          <w:szCs w:val="22"/>
        </w:rPr>
        <w:t>Indi</w:t>
      </w:r>
      <w:r w:rsidR="00EE0413">
        <w:rPr>
          <w:rFonts w:ascii="Arial" w:hAnsi="Arial" w:cs="Arial"/>
          <w:b/>
          <w:bCs/>
          <w:sz w:val="22"/>
          <w:szCs w:val="22"/>
        </w:rPr>
        <w:t>cadores de objetivos de las EDLL</w:t>
      </w:r>
    </w:p>
    <w:p w:rsidR="00BA2A47" w:rsidRDefault="00BA2A47" w:rsidP="00BA2A47">
      <w:pPr>
        <w:pStyle w:val="Point0"/>
        <w:rPr>
          <w:b/>
        </w:rPr>
      </w:pPr>
    </w:p>
    <w:p w:rsidR="00BA2A47" w:rsidRPr="00F80CCB" w:rsidRDefault="00BA2A47" w:rsidP="00BA2A47">
      <w:pPr>
        <w:pStyle w:val="Point0"/>
        <w:rPr>
          <w:b/>
          <w:u w:val="single"/>
        </w:rPr>
      </w:pPr>
      <w:r>
        <w:rPr>
          <w:b/>
        </w:rPr>
        <w:t>1. Indicadores de contexto comunes.</w:t>
      </w:r>
    </w:p>
    <w:p w:rsidR="00BA2A47" w:rsidRDefault="00BA2A47" w:rsidP="00BA2A47">
      <w:r>
        <w:t>C1. Población*.</w:t>
      </w:r>
    </w:p>
    <w:p w:rsidR="00BA2A47" w:rsidRDefault="00BA2A47" w:rsidP="00BA2A47">
      <w:r>
        <w:t>C2. Estructura por edades.</w:t>
      </w:r>
    </w:p>
    <w:p w:rsidR="00BA2A47" w:rsidRDefault="00BA2A47" w:rsidP="00BA2A47">
      <w:r>
        <w:t>C3. % de población extranjera.</w:t>
      </w:r>
    </w:p>
    <w:p w:rsidR="00BA2A47" w:rsidRDefault="00BA2A47" w:rsidP="00BA2A47">
      <w:r>
        <w:t>C4. Territorio</w:t>
      </w:r>
      <w:r>
        <w:cr/>
        <w:t>C5. Densidad de población</w:t>
      </w:r>
    </w:p>
    <w:p w:rsidR="00BA2A47" w:rsidRDefault="00BA2A47" w:rsidP="00BA2A47">
      <w:r>
        <w:t>C6. Población activa.</w:t>
      </w:r>
    </w:p>
    <w:p w:rsidR="00BA2A47" w:rsidRDefault="00BA2A47" w:rsidP="00BA2A47">
      <w:r>
        <w:t>C7. Tasa de empleo por cuenta propia*</w:t>
      </w:r>
    </w:p>
    <w:p w:rsidR="00BA2A47" w:rsidRDefault="00BA2A47" w:rsidP="00BA2A47">
      <w:r>
        <w:t>C8. Población inactiva.</w:t>
      </w:r>
    </w:p>
    <w:p w:rsidR="00BA2A47" w:rsidRDefault="00BA2A47" w:rsidP="00BA2A47">
      <w:r>
        <w:t>C9. Demandantes de empleo por sector de actividad.</w:t>
      </w:r>
    </w:p>
    <w:p w:rsidR="00BA2A47" w:rsidRPr="00F80CCB" w:rsidRDefault="00BA2A47" w:rsidP="00BA2A47">
      <w:r>
        <w:t xml:space="preserve">C10. Afiliaciones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t>la Seguridad</w:t>
          </w:r>
        </w:smartTag>
        <w:r>
          <w:t xml:space="preserve"> Social</w:t>
        </w:r>
      </w:smartTag>
      <w:r>
        <w:t xml:space="preserve"> por sector de actividad.</w:t>
      </w:r>
    </w:p>
    <w:p w:rsidR="00BA2A47" w:rsidRPr="00D1709E" w:rsidRDefault="00BA2A47" w:rsidP="00BA2A47">
      <w:r>
        <w:t xml:space="preserve">C11. Valor añadido bruto por sector de actividad.       </w:t>
      </w:r>
    </w:p>
    <w:p w:rsidR="00BA2A47" w:rsidRDefault="00BA2A47" w:rsidP="00BA2A47">
      <w:r>
        <w:t>C12. Nivel de estudios de la población.</w:t>
      </w:r>
    </w:p>
    <w:p w:rsidR="00BA2A47" w:rsidRPr="005932EB" w:rsidRDefault="00BA2A47" w:rsidP="00BA2A47">
      <w:r w:rsidRPr="005932EB">
        <w:t>C13. Oferta turística (número de plazas).</w:t>
      </w:r>
    </w:p>
    <w:p w:rsidR="00BA2A47" w:rsidRDefault="00BA2A47" w:rsidP="00BA2A47">
      <w:r>
        <w:t xml:space="preserve">C14. Número de pernoctaciones*. </w:t>
      </w:r>
    </w:p>
    <w:p w:rsidR="00BA2A47" w:rsidRDefault="00BA2A47" w:rsidP="00BA2A47">
      <w:r>
        <w:t>* Indicadores de impacto.</w:t>
      </w:r>
    </w:p>
    <w:p w:rsidR="00BA2A47" w:rsidRDefault="00BA2A47" w:rsidP="00BA2A47">
      <w:r>
        <w:t>Los datos se presentarán según el formato de plantilla que se adjunta al final de este anexo.</w:t>
      </w:r>
    </w:p>
    <w:p w:rsidR="00BA2A47" w:rsidRDefault="00BA2A47" w:rsidP="00BA2A47">
      <w:r>
        <w:t xml:space="preserve">Los Grupos de Acción Local podrán añadir los indicadores de contexto/impacto que consideren necesarios para justificar el diseño y la evaluación de la estrategia. </w:t>
      </w:r>
    </w:p>
    <w:p w:rsidR="00BA2A47" w:rsidRDefault="00BA2A47" w:rsidP="00BA2A47">
      <w:r>
        <w:t>Estos indicadores serán cumplimentados en función de la disponibilidad del dato. En caso de que no se disponga de datos publicados actualizados podrán dejarse sin cumplimentar, debiéndose comunicar el valor una vez publicadas las actualizaciones.</w:t>
      </w:r>
    </w:p>
    <w:p w:rsidR="00BA2A47" w:rsidRDefault="00BA2A47" w:rsidP="00BA2A47"/>
    <w:p w:rsidR="00BA2A47" w:rsidRPr="00F63F2F" w:rsidRDefault="00BA2A47" w:rsidP="00BA2A47">
      <w:r>
        <w:rPr>
          <w:b/>
        </w:rPr>
        <w:t xml:space="preserve">2. Indicadores de resultado comunes por ámbito de programación. Anexo I R (UE) 2021/2115. </w:t>
      </w:r>
    </w:p>
    <w:p w:rsidR="00BA2A47" w:rsidRDefault="00BA2A47" w:rsidP="00BA2A47">
      <w:r>
        <w:t>R38: Cobertura de Leader.</w:t>
      </w:r>
    </w:p>
    <w:p w:rsidR="00BA2A47" w:rsidRDefault="00BA2A47" w:rsidP="00BA2A47">
      <w:r w:rsidRPr="00CF5629">
        <w:t>R39: Desarrollo de la Economía Rural</w:t>
      </w:r>
      <w:r>
        <w:t>.</w:t>
      </w:r>
    </w:p>
    <w:p w:rsidR="00BA2A47" w:rsidRDefault="00BA2A47" w:rsidP="00BA2A47">
      <w:r w:rsidRPr="00CF5629">
        <w:t>R27: Resultados en materia de medio ambiente y clima a través de inversiones en el medio rural</w:t>
      </w:r>
      <w:r>
        <w:t>.</w:t>
      </w:r>
    </w:p>
    <w:p w:rsidR="00BA2A47" w:rsidRDefault="00BA2A47" w:rsidP="00BA2A47">
      <w:r w:rsidRPr="00CF5629">
        <w:t>R41: Conexión de la Europa Rural</w:t>
      </w:r>
      <w:r>
        <w:t>.</w:t>
      </w:r>
    </w:p>
    <w:p w:rsidR="00BA2A47" w:rsidRDefault="00BA2A47" w:rsidP="00BA2A47">
      <w:r w:rsidRPr="00CF5629">
        <w:t>R1: Mejora de resultados mediante conocimiento e innovación</w:t>
      </w:r>
      <w:r>
        <w:t>.</w:t>
      </w:r>
    </w:p>
    <w:p w:rsidR="00BA2A47" w:rsidRDefault="00BA2A47" w:rsidP="00BA2A47"/>
    <w:p w:rsidR="00BA2A47" w:rsidRDefault="00BA2A47" w:rsidP="00BA2A47"/>
    <w:p w:rsidR="00BA2A47" w:rsidRDefault="00BA2A47" w:rsidP="00BA2A47">
      <w:pPr>
        <w:rPr>
          <w:b/>
        </w:rPr>
      </w:pPr>
    </w:p>
    <w:p w:rsidR="00BA2A47" w:rsidRDefault="00BA2A47" w:rsidP="00BA2A47">
      <w:r>
        <w:rPr>
          <w:b/>
        </w:rPr>
        <w:lastRenderedPageBreak/>
        <w:t>3. Indicadores de resultado regionales.</w:t>
      </w:r>
    </w:p>
    <w:p w:rsidR="00BA2A47" w:rsidRDefault="00BA2A47" w:rsidP="00BA2A47">
      <w:r>
        <w:t>R1.1A: Ayudas para la inversión en transformación y comercialización del sector agroalimentario.</w:t>
      </w:r>
    </w:p>
    <w:p w:rsidR="00BA2A47" w:rsidRDefault="00BA2A47" w:rsidP="00BA2A47">
      <w:r>
        <w:t>R1.2A: Ayudas para la inversión sector forestal.</w:t>
      </w:r>
    </w:p>
    <w:p w:rsidR="00BA2A47" w:rsidRDefault="00BA2A47" w:rsidP="00BA2A47">
      <w:r>
        <w:t>R1.3A: Ayudas para la inversión en otros sectores.</w:t>
      </w:r>
    </w:p>
    <w:p w:rsidR="00BA2A47" w:rsidRDefault="00BA2A47" w:rsidP="00BA2A47">
      <w:r>
        <w:t>R2.1A: Eficiencia Energética.</w:t>
      </w:r>
    </w:p>
    <w:p w:rsidR="00BA2A47" w:rsidRDefault="00BA2A47" w:rsidP="00BA2A47">
      <w:r>
        <w:t>R2.2A: Biodiversidad.</w:t>
      </w:r>
    </w:p>
    <w:p w:rsidR="00BA2A47" w:rsidRDefault="00BA2A47" w:rsidP="00BA2A47">
      <w:r>
        <w:t>R2.3A: Cambio Climático.</w:t>
      </w:r>
    </w:p>
    <w:p w:rsidR="00BA2A47" w:rsidRDefault="00BA2A47" w:rsidP="00BA2A47">
      <w:r>
        <w:t>R3.1A: Promoción de la inclusión social.</w:t>
      </w:r>
    </w:p>
    <w:p w:rsidR="00BA2A47" w:rsidRDefault="00BA2A47" w:rsidP="00BA2A47">
      <w:r>
        <w:t>R3.2A: Infraestructura social.</w:t>
      </w:r>
    </w:p>
    <w:p w:rsidR="00BA2A47" w:rsidRPr="00A22AAB" w:rsidRDefault="00BA2A47" w:rsidP="00BA2A47">
      <w:r>
        <w:t>R3.3A: Servicios sociales.</w:t>
      </w:r>
    </w:p>
    <w:p w:rsidR="00BA2A47" w:rsidRDefault="00BA2A47" w:rsidP="00BA2A47">
      <w:r>
        <w:t>R3.4A: Igualdad de género.</w:t>
      </w:r>
    </w:p>
    <w:p w:rsidR="00BA2A47" w:rsidRDefault="00BA2A47" w:rsidP="00BA2A47">
      <w:r>
        <w:t>R3.5A: Gobernanza y Capital Social.</w:t>
      </w:r>
    </w:p>
    <w:p w:rsidR="00BA2A47" w:rsidRDefault="00BA2A47" w:rsidP="00BA2A47">
      <w:r>
        <w:t>R4.1A: Transferencia de conocimiento en temas medioambientales y/o climáticos.</w:t>
      </w:r>
    </w:p>
    <w:p w:rsidR="00BA2A47" w:rsidRDefault="00BA2A47" w:rsidP="00BA2A47">
      <w:r>
        <w:t>R4.2A Transferencia de conocimiento en temas no medioambientales.</w:t>
      </w:r>
    </w:p>
    <w:p w:rsidR="00BA2A47" w:rsidRDefault="00BA2A47" w:rsidP="00BA2A47">
      <w:r>
        <w:t>R4.3A: Alimentación saludable y reducción de desperdicio de alimentos.</w:t>
      </w:r>
    </w:p>
    <w:p w:rsidR="00BA2A47" w:rsidRDefault="00BA2A47" w:rsidP="00BA2A47">
      <w:pPr>
        <w:spacing w:before="0" w:after="0"/>
        <w:rPr>
          <w:rFonts w:eastAsia="Times New Roman"/>
          <w:szCs w:val="24"/>
          <w:lang w:bidi="ar-SA"/>
        </w:rPr>
      </w:pPr>
    </w:p>
    <w:p w:rsidR="00BA2A47" w:rsidRDefault="00BA2A47" w:rsidP="00BA2A47">
      <w:r>
        <w:rPr>
          <w:b/>
        </w:rPr>
        <w:t>4. Indicadores de resultado adicionales.</w:t>
      </w:r>
    </w:p>
    <w:p w:rsidR="00BA2A47" w:rsidRPr="00A22AAB" w:rsidRDefault="00BA2A47" w:rsidP="00BA2A47">
      <w:r w:rsidRPr="00A22AAB">
        <w:t>R10: Organización de la cadena de suministro</w:t>
      </w:r>
      <w:r>
        <w:t>.</w:t>
      </w:r>
    </w:p>
    <w:p w:rsidR="00BA2A47" w:rsidRDefault="00BA2A47" w:rsidP="00BA2A47">
      <w:r>
        <w:t>R15: Energía renovable.</w:t>
      </w:r>
    </w:p>
    <w:p w:rsidR="00BA2A47" w:rsidRDefault="00BA2A47" w:rsidP="00BA2A47">
      <w:r w:rsidRPr="00A22AAB">
        <w:t>R18: Ayudas para la inversión destinadas al sector forestal</w:t>
      </w:r>
      <w:r>
        <w:t>.</w:t>
      </w:r>
    </w:p>
    <w:p w:rsidR="00BA2A47" w:rsidRDefault="00BA2A47" w:rsidP="00BA2A47">
      <w:r>
        <w:t>R28: Resultados medioambientales y climáticos a través del conocimiento y la innovación.</w:t>
      </w:r>
    </w:p>
    <w:p w:rsidR="00BA2A47" w:rsidRDefault="00BA2A47" w:rsidP="00BA2A47">
      <w:r>
        <w:t>R37: Crecimiento y empleo en las zonas rurales.</w:t>
      </w:r>
    </w:p>
    <w:p w:rsidR="00BA2A47" w:rsidRDefault="00BA2A47" w:rsidP="00BA2A47">
      <w:r>
        <w:t>R40: Transición inteligente.</w:t>
      </w:r>
    </w:p>
    <w:p w:rsidR="00BA2A47" w:rsidRDefault="00BA2A47" w:rsidP="00BA2A47">
      <w:r>
        <w:t>R42: Promoción de la inclusión social.</w:t>
      </w:r>
    </w:p>
    <w:p w:rsidR="003B7364" w:rsidRDefault="003B7364" w:rsidP="003B7364">
      <w:r>
        <w:t>R4.4A: Inversiones en TIC.</w:t>
      </w:r>
    </w:p>
    <w:p w:rsidR="00BA2A47" w:rsidRDefault="00BA2A47" w:rsidP="00BA2A47">
      <w:pPr>
        <w:spacing w:before="0" w:after="0"/>
        <w:rPr>
          <w:rFonts w:eastAsia="Times New Roman"/>
          <w:szCs w:val="24"/>
          <w:lang w:bidi="ar-SA"/>
        </w:rPr>
      </w:pPr>
    </w:p>
    <w:p w:rsidR="00BA2A47" w:rsidRDefault="00BA2A47" w:rsidP="00BA2A47">
      <w:pPr>
        <w:spacing w:before="0" w:after="0"/>
        <w:rPr>
          <w:rFonts w:eastAsia="Times New Roman"/>
          <w:b/>
          <w:szCs w:val="24"/>
          <w:lang w:bidi="ar-SA"/>
        </w:rPr>
      </w:pPr>
      <w:r w:rsidRPr="002B1027">
        <w:rPr>
          <w:rFonts w:eastAsia="Times New Roman"/>
          <w:b/>
          <w:szCs w:val="24"/>
          <w:lang w:bidi="ar-SA"/>
        </w:rPr>
        <w:t>Notas:</w:t>
      </w:r>
    </w:p>
    <w:p w:rsidR="00BA2A47" w:rsidRPr="002B1027" w:rsidRDefault="00BA2A47" w:rsidP="00BA2A47">
      <w:pPr>
        <w:spacing w:before="0" w:after="0"/>
        <w:rPr>
          <w:rFonts w:eastAsia="Times New Roman"/>
          <w:szCs w:val="24"/>
          <w:lang w:bidi="ar-SA"/>
        </w:rPr>
      </w:pPr>
      <w:r>
        <w:rPr>
          <w:rFonts w:eastAsia="Times New Roman"/>
          <w:szCs w:val="24"/>
          <w:lang w:bidi="ar-SA"/>
        </w:rPr>
        <w:t xml:space="preserve">Los indicadores del apartado nº 2 y 4 se encuentran incluidos en el anexo nº 1 del Reglamento (UE) 2021/2115, la metodología de cálculo será la establecida en la Guía elaborada por la Comisión Europea, en caso de porcentajes sólo se deberá tener en </w:t>
      </w:r>
      <w:r w:rsidR="004A0D51">
        <w:rPr>
          <w:rFonts w:eastAsia="Times New Roman"/>
          <w:szCs w:val="24"/>
          <w:lang w:bidi="ar-SA"/>
        </w:rPr>
        <w:t>cuenta el numerador. En el</w:t>
      </w:r>
      <w:r w:rsidR="003B7364">
        <w:rPr>
          <w:rFonts w:eastAsia="Times New Roman"/>
          <w:szCs w:val="24"/>
          <w:lang w:bidi="ar-SA"/>
        </w:rPr>
        <w:t xml:space="preserve"> indicador R4.4A, no definido por la UE, </w:t>
      </w:r>
      <w:r w:rsidR="004A0D51">
        <w:rPr>
          <w:rFonts w:eastAsia="Times New Roman"/>
          <w:szCs w:val="24"/>
          <w:lang w:bidi="ar-SA"/>
        </w:rPr>
        <w:t>la</w:t>
      </w:r>
      <w:r w:rsidR="003B7364">
        <w:rPr>
          <w:rFonts w:eastAsia="Times New Roman"/>
          <w:szCs w:val="24"/>
          <w:lang w:bidi="ar-SA"/>
        </w:rPr>
        <w:t xml:space="preserve"> unidad de medida será el número de expedientes previstos</w:t>
      </w:r>
      <w:r w:rsidR="004A0D51">
        <w:rPr>
          <w:rFonts w:eastAsia="Times New Roman"/>
          <w:szCs w:val="24"/>
          <w:lang w:bidi="ar-SA"/>
        </w:rPr>
        <w:t>.</w:t>
      </w:r>
    </w:p>
    <w:p w:rsidR="00BA2A47" w:rsidRDefault="00BA2A47" w:rsidP="00BA2A47">
      <w:pPr>
        <w:spacing w:before="0" w:after="0"/>
        <w:rPr>
          <w:rFonts w:eastAsia="Times New Roman"/>
          <w:szCs w:val="24"/>
          <w:lang w:bidi="ar-SA"/>
        </w:rPr>
      </w:pPr>
    </w:p>
    <w:p w:rsidR="00BA2A47" w:rsidRPr="00A22AAB" w:rsidRDefault="00BA2A47" w:rsidP="00BA2A47">
      <w:pPr>
        <w:spacing w:before="0" w:after="0"/>
        <w:rPr>
          <w:rFonts w:eastAsia="Times New Roman"/>
          <w:szCs w:val="24"/>
          <w:lang w:bidi="ar-SA"/>
        </w:rPr>
      </w:pPr>
      <w:r>
        <w:rPr>
          <w:rFonts w:eastAsia="Times New Roman"/>
          <w:szCs w:val="24"/>
          <w:lang w:bidi="ar-SA"/>
        </w:rPr>
        <w:t>Los indicadores del apartado nº 3 y 4</w:t>
      </w:r>
      <w:r w:rsidRPr="00A22AAB">
        <w:rPr>
          <w:rFonts w:eastAsia="Times New Roman"/>
          <w:szCs w:val="24"/>
          <w:lang w:bidi="ar-SA"/>
        </w:rPr>
        <w:t xml:space="preserve"> serán </w:t>
      </w:r>
      <w:r>
        <w:rPr>
          <w:rFonts w:eastAsia="Times New Roman"/>
          <w:szCs w:val="24"/>
          <w:lang w:bidi="ar-SA"/>
        </w:rPr>
        <w:t>utilizados para el seguimiento y evaluación de las estrategias</w:t>
      </w:r>
      <w:r w:rsidRPr="00A22AAB">
        <w:rPr>
          <w:rFonts w:eastAsia="Times New Roman"/>
          <w:szCs w:val="24"/>
          <w:lang w:bidi="ar-SA"/>
        </w:rPr>
        <w:t>. En los indicadores</w:t>
      </w:r>
      <w:r>
        <w:rPr>
          <w:rFonts w:eastAsia="Times New Roman"/>
          <w:szCs w:val="24"/>
          <w:lang w:bidi="ar-SA"/>
        </w:rPr>
        <w:t xml:space="preserve"> del apartado nº 3</w:t>
      </w:r>
      <w:r w:rsidR="003B7364">
        <w:rPr>
          <w:rFonts w:eastAsia="Times New Roman"/>
          <w:szCs w:val="24"/>
          <w:lang w:bidi="ar-SA"/>
        </w:rPr>
        <w:t xml:space="preserve"> y </w:t>
      </w:r>
      <w:r w:rsidR="004A0D51">
        <w:rPr>
          <w:rFonts w:eastAsia="Times New Roman"/>
          <w:szCs w:val="24"/>
          <w:lang w:bidi="ar-SA"/>
        </w:rPr>
        <w:t xml:space="preserve">en </w:t>
      </w:r>
      <w:r w:rsidR="003B7364">
        <w:rPr>
          <w:rFonts w:eastAsia="Times New Roman"/>
          <w:szCs w:val="24"/>
          <w:lang w:bidi="ar-SA"/>
        </w:rPr>
        <w:t>el indicador R4.4</w:t>
      </w:r>
      <w:r w:rsidR="004A0D51">
        <w:rPr>
          <w:rFonts w:eastAsia="Times New Roman"/>
          <w:szCs w:val="24"/>
          <w:lang w:bidi="ar-SA"/>
        </w:rPr>
        <w:t xml:space="preserve">A </w:t>
      </w:r>
      <w:r w:rsidR="003B7364">
        <w:rPr>
          <w:rFonts w:eastAsia="Times New Roman"/>
          <w:szCs w:val="24"/>
          <w:lang w:bidi="ar-SA"/>
        </w:rPr>
        <w:t>del apartado 4</w:t>
      </w:r>
      <w:r>
        <w:rPr>
          <w:rFonts w:eastAsia="Times New Roman"/>
          <w:szCs w:val="24"/>
          <w:lang w:bidi="ar-SA"/>
        </w:rPr>
        <w:t>,</w:t>
      </w:r>
      <w:r w:rsidRPr="00A22AAB">
        <w:rPr>
          <w:rFonts w:eastAsia="Times New Roman"/>
          <w:szCs w:val="24"/>
          <w:lang w:bidi="ar-SA"/>
        </w:rPr>
        <w:t xml:space="preserve"> no definidos por la UE, la unidad de medida será el número de expedientes previstos.</w:t>
      </w:r>
    </w:p>
    <w:p w:rsidR="00BA2A47" w:rsidRDefault="00BA2A47" w:rsidP="00BA2A47">
      <w:pPr>
        <w:spacing w:before="0" w:after="0"/>
        <w:rPr>
          <w:rFonts w:eastAsia="Times New Roman"/>
          <w:szCs w:val="24"/>
          <w:lang w:bidi="ar-SA"/>
        </w:rPr>
      </w:pPr>
    </w:p>
    <w:p w:rsidR="00372496" w:rsidRDefault="00BA2A47" w:rsidP="003B7364">
      <w:pPr>
        <w:spacing w:before="0" w:after="0"/>
      </w:pPr>
      <w:r w:rsidRPr="002B1027">
        <w:rPr>
          <w:rFonts w:eastAsia="Times New Roman"/>
          <w:szCs w:val="24"/>
          <w:lang w:bidi="ar-SA"/>
        </w:rPr>
        <w:t>Todos los expedientes deberán contribuir al menos a un i</w:t>
      </w:r>
      <w:r>
        <w:rPr>
          <w:rFonts w:eastAsia="Times New Roman"/>
          <w:szCs w:val="24"/>
          <w:lang w:bidi="ar-SA"/>
        </w:rPr>
        <w:t xml:space="preserve">ndicador de resultado </w:t>
      </w:r>
      <w:r w:rsidR="00EE0413">
        <w:rPr>
          <w:rFonts w:eastAsia="Times New Roman"/>
          <w:szCs w:val="24"/>
          <w:lang w:bidi="ar-SA"/>
        </w:rPr>
        <w:t>regional</w:t>
      </w:r>
      <w:r>
        <w:rPr>
          <w:rFonts w:eastAsia="Times New Roman"/>
          <w:szCs w:val="24"/>
          <w:lang w:bidi="ar-SA"/>
        </w:rPr>
        <w:t>, la contribución deberá quedar argumentada en el control administrativo del expediente.</w:t>
      </w:r>
    </w:p>
    <w:sectPr w:rsidR="00372496" w:rsidSect="008A1A3B">
      <w:headerReference w:type="even" r:id="rId6"/>
      <w:headerReference w:type="default" r:id="rId7"/>
      <w:footerReference w:type="even" r:id="rId8"/>
      <w:footerReference w:type="default" r:id="rId9"/>
      <w:headerReference w:type="firs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E7D" w:rsidRDefault="00D33E7D">
      <w:pPr>
        <w:spacing w:before="0" w:after="0"/>
      </w:pPr>
      <w:r>
        <w:separator/>
      </w:r>
    </w:p>
  </w:endnote>
  <w:endnote w:type="continuationSeparator" w:id="0">
    <w:p w:rsidR="00D33E7D" w:rsidRDefault="00D33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1E6"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33A" w:rsidRPr="00411B85" w:rsidRDefault="00BA2A47" w:rsidP="008A1A3B">
    <w:pPr>
      <w:pStyle w:val="Piedepgina"/>
      <w:rPr>
        <w:rFonts w:ascii="Arial" w:hAnsi="Arial" w:cs="Arial"/>
        <w:b/>
        <w:sz w:val="48"/>
      </w:rPr>
    </w:pPr>
    <w:r>
      <w:tab/>
    </w:r>
    <w:r>
      <w:fldChar w:fldCharType="begin"/>
    </w:r>
    <w:r w:rsidRPr="00411B85">
      <w:instrText xml:space="preserve"> PAGE  \* MERGEFORMAT </w:instrText>
    </w:r>
    <w:r>
      <w:fldChar w:fldCharType="separate"/>
    </w:r>
    <w:r w:rsidR="004A0D51">
      <w:rPr>
        <w:noProof/>
      </w:rPr>
      <w:t>2</w:t>
    </w:r>
    <w: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1E6"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E7D" w:rsidRDefault="00D33E7D">
      <w:pPr>
        <w:spacing w:before="0" w:after="0"/>
      </w:pPr>
      <w:r>
        <w:separator/>
      </w:r>
    </w:p>
  </w:footnote>
  <w:footnote w:type="continuationSeparator" w:id="0">
    <w:p w:rsidR="00D33E7D" w:rsidRDefault="00D33E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1E6"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33A" w:rsidRDefault="00000000">
    <w:pPr>
      <w:pStyle w:val="Encabezado"/>
      <w:rPr>
        <w:rFonts w:ascii="Arial" w:hAnsi="Arial" w:cs="Arial"/>
        <w:i/>
        <w:sz w:val="16"/>
        <w:szCs w:val="16"/>
      </w:rPr>
    </w:pPr>
  </w:p>
  <w:p w:rsidR="00AE6D2F" w:rsidRDefault="000000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1E6"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47"/>
    <w:rsid w:val="00214F1C"/>
    <w:rsid w:val="00372496"/>
    <w:rsid w:val="003B7364"/>
    <w:rsid w:val="004A0D51"/>
    <w:rsid w:val="007C5278"/>
    <w:rsid w:val="00BA2A47"/>
    <w:rsid w:val="00D33E7D"/>
    <w:rsid w:val="00D73FEF"/>
    <w:rsid w:val="00EE04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A7431A2-BF65-44F4-B5A6-5787B12F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47"/>
    <w:pPr>
      <w:spacing w:before="120" w:after="120" w:line="240" w:lineRule="auto"/>
      <w:jc w:val="both"/>
    </w:pPr>
    <w:rPr>
      <w:rFonts w:ascii="Times New Roman" w:eastAsia="Calibri" w:hAnsi="Times New Roman" w:cs="Times New Roman"/>
      <w:sz w:val="24"/>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A47"/>
    <w:pPr>
      <w:tabs>
        <w:tab w:val="center" w:pos="4535"/>
        <w:tab w:val="right" w:pos="9071"/>
      </w:tabs>
      <w:spacing w:before="0"/>
    </w:pPr>
    <w:rPr>
      <w:lang w:eastAsia="x-none" w:bidi="ar-SA"/>
    </w:rPr>
  </w:style>
  <w:style w:type="character" w:customStyle="1" w:styleId="EncabezadoCar">
    <w:name w:val="Encabezado Car"/>
    <w:basedOn w:val="Fuentedeprrafopredeter"/>
    <w:link w:val="Encabezado"/>
    <w:uiPriority w:val="99"/>
    <w:rsid w:val="00BA2A47"/>
    <w:rPr>
      <w:rFonts w:ascii="Times New Roman" w:eastAsia="Calibri" w:hAnsi="Times New Roman" w:cs="Times New Roman"/>
      <w:sz w:val="24"/>
      <w:szCs w:val="20"/>
      <w:lang w:eastAsia="x-none"/>
    </w:rPr>
  </w:style>
  <w:style w:type="paragraph" w:styleId="Piedepgina">
    <w:name w:val="footer"/>
    <w:basedOn w:val="Normal"/>
    <w:link w:val="PiedepginaCar"/>
    <w:uiPriority w:val="99"/>
    <w:unhideWhenUsed/>
    <w:rsid w:val="00BA2A47"/>
    <w:pPr>
      <w:tabs>
        <w:tab w:val="center" w:pos="4535"/>
        <w:tab w:val="right" w:pos="9071"/>
        <w:tab w:val="right" w:pos="9921"/>
      </w:tabs>
      <w:spacing w:before="360" w:after="0"/>
      <w:ind w:left="-850" w:right="-850"/>
      <w:jc w:val="left"/>
    </w:pPr>
    <w:rPr>
      <w:lang w:eastAsia="x-none" w:bidi="ar-SA"/>
    </w:rPr>
  </w:style>
  <w:style w:type="character" w:customStyle="1" w:styleId="PiedepginaCar">
    <w:name w:val="Pie de página Car"/>
    <w:basedOn w:val="Fuentedeprrafopredeter"/>
    <w:link w:val="Piedepgina"/>
    <w:uiPriority w:val="99"/>
    <w:rsid w:val="00BA2A47"/>
    <w:rPr>
      <w:rFonts w:ascii="Times New Roman" w:eastAsia="Calibri" w:hAnsi="Times New Roman" w:cs="Times New Roman"/>
      <w:sz w:val="24"/>
      <w:szCs w:val="20"/>
      <w:lang w:eastAsia="x-none"/>
    </w:rPr>
  </w:style>
  <w:style w:type="paragraph" w:customStyle="1" w:styleId="Point0">
    <w:name w:val="Point 0"/>
    <w:basedOn w:val="Normal"/>
    <w:rsid w:val="00BA2A47"/>
    <w:pPr>
      <w:ind w:left="850"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RADR</cp:lastModifiedBy>
  <cp:revision>2</cp:revision>
  <cp:lastPrinted>2023-04-19T17:26:00Z</cp:lastPrinted>
  <dcterms:created xsi:type="dcterms:W3CDTF">2023-04-19T17:36:00Z</dcterms:created>
  <dcterms:modified xsi:type="dcterms:W3CDTF">2023-04-19T17:36:00Z</dcterms:modified>
</cp:coreProperties>
</file>